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69" w:type="pct"/>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2"/>
        <w:gridCol w:w="7318"/>
      </w:tblGrid>
      <w:tr w:rsidR="0050417E" w:rsidRPr="00E70DDA" w:rsidTr="00E70DDA">
        <w:trPr>
          <w:trHeight w:val="125"/>
        </w:trPr>
        <w:tc>
          <w:tcPr>
            <w:tcW w:w="5000" w:type="pct"/>
            <w:gridSpan w:val="2"/>
            <w:tcBorders>
              <w:top w:val="nil"/>
              <w:left w:val="nil"/>
              <w:bottom w:val="single" w:sz="4" w:space="0" w:color="auto"/>
              <w:right w:val="nil"/>
            </w:tcBorders>
            <w:shd w:val="clear" w:color="auto" w:fill="auto"/>
          </w:tcPr>
          <w:p w:rsidR="0050417E" w:rsidRPr="00E70DDA" w:rsidRDefault="0050417E" w:rsidP="00427F73">
            <w:pPr>
              <w:tabs>
                <w:tab w:val="left" w:pos="5882"/>
              </w:tabs>
              <w:autoSpaceDE w:val="0"/>
              <w:autoSpaceDN w:val="0"/>
              <w:adjustRightInd w:val="0"/>
              <w:rPr>
                <w:rFonts w:ascii="Times New Roman" w:hAnsi="Times New Roman" w:cs="Times New Roman"/>
                <w:b/>
                <w:bCs/>
                <w:sz w:val="20"/>
                <w:szCs w:val="20"/>
              </w:rPr>
            </w:pPr>
            <w:r w:rsidRPr="00E70DDA">
              <w:rPr>
                <w:rFonts w:ascii="Times New Roman" w:hAnsi="Times New Roman" w:cs="Times New Roman"/>
                <w:b/>
                <w:bCs/>
                <w:sz w:val="20"/>
                <w:szCs w:val="20"/>
              </w:rPr>
              <w:t>Tabella comparazione Reg. FSE e Generale 2014-2020 e 2007-2013</w:t>
            </w:r>
          </w:p>
        </w:tc>
      </w:tr>
      <w:tr w:rsidR="0050417E" w:rsidRPr="00E70DDA" w:rsidTr="00E70DDA">
        <w:trPr>
          <w:trHeight w:val="125"/>
        </w:trPr>
        <w:tc>
          <w:tcPr>
            <w:tcW w:w="5000" w:type="pct"/>
            <w:gridSpan w:val="2"/>
            <w:tcBorders>
              <w:top w:val="single" w:sz="4" w:space="0" w:color="auto"/>
            </w:tcBorders>
            <w:shd w:val="clear" w:color="auto" w:fill="F2F2F2" w:themeFill="background1" w:themeFillShade="F2"/>
          </w:tcPr>
          <w:p w:rsidR="0050417E" w:rsidRPr="00E70DDA" w:rsidRDefault="00AD0D09" w:rsidP="00427F73">
            <w:pPr>
              <w:autoSpaceDE w:val="0"/>
              <w:autoSpaceDN w:val="0"/>
              <w:adjustRightInd w:val="0"/>
              <w:jc w:val="center"/>
              <w:rPr>
                <w:rFonts w:ascii="Times New Roman" w:hAnsi="Times New Roman" w:cs="Times New Roman"/>
                <w:b/>
                <w:bCs/>
                <w:sz w:val="20"/>
                <w:szCs w:val="20"/>
              </w:rPr>
            </w:pPr>
            <w:r>
              <w:rPr>
                <w:rFonts w:ascii="Times New Roman" w:hAnsi="Times New Roman" w:cs="Times New Roman"/>
                <w:b/>
                <w:bCs/>
                <w:sz w:val="20"/>
                <w:szCs w:val="20"/>
              </w:rPr>
              <w:t>RISERVA DI EFFICACIA DELL’ATTUAZIONE</w:t>
            </w:r>
          </w:p>
        </w:tc>
      </w:tr>
      <w:tr w:rsidR="0050417E" w:rsidRPr="00E70DDA" w:rsidTr="00E70DDA">
        <w:trPr>
          <w:trHeight w:val="125"/>
        </w:trPr>
        <w:tc>
          <w:tcPr>
            <w:tcW w:w="2521" w:type="pct"/>
            <w:shd w:val="clear" w:color="auto" w:fill="BDD6EE" w:themeFill="accent1" w:themeFillTint="66"/>
          </w:tcPr>
          <w:p w:rsidR="0050417E" w:rsidRPr="00E70DDA" w:rsidRDefault="0050417E" w:rsidP="00427F73">
            <w:pPr>
              <w:autoSpaceDE w:val="0"/>
              <w:autoSpaceDN w:val="0"/>
              <w:adjustRightInd w:val="0"/>
              <w:jc w:val="center"/>
              <w:rPr>
                <w:rFonts w:ascii="Times New Roman" w:hAnsi="Times New Roman" w:cs="Times New Roman"/>
                <w:b/>
                <w:bCs/>
                <w:sz w:val="20"/>
                <w:szCs w:val="20"/>
              </w:rPr>
            </w:pPr>
            <w:r w:rsidRPr="00E70DDA">
              <w:rPr>
                <w:rFonts w:ascii="Times New Roman" w:hAnsi="Times New Roman" w:cs="Times New Roman"/>
                <w:sz w:val="20"/>
                <w:szCs w:val="20"/>
              </w:rPr>
              <w:br w:type="page"/>
            </w:r>
            <w:r w:rsidRPr="00E70DDA">
              <w:rPr>
                <w:rFonts w:ascii="Times New Roman" w:hAnsi="Times New Roman" w:cs="Times New Roman"/>
                <w:b/>
                <w:bCs/>
                <w:sz w:val="20"/>
                <w:szCs w:val="20"/>
              </w:rPr>
              <w:t>NUOVO REGOLAMENTO GENERALE [2014-2020]</w:t>
            </w:r>
          </w:p>
          <w:p w:rsidR="0050417E" w:rsidRPr="00E70DDA" w:rsidRDefault="0050417E" w:rsidP="002D3000">
            <w:pPr>
              <w:autoSpaceDE w:val="0"/>
              <w:autoSpaceDN w:val="0"/>
              <w:adjustRightInd w:val="0"/>
              <w:jc w:val="center"/>
              <w:rPr>
                <w:rFonts w:ascii="Times New Roman" w:hAnsi="Times New Roman" w:cs="Times New Roman"/>
                <w:b/>
                <w:iCs/>
                <w:sz w:val="20"/>
                <w:szCs w:val="20"/>
              </w:rPr>
            </w:pPr>
            <w:r w:rsidRPr="00E70DDA">
              <w:rPr>
                <w:rFonts w:ascii="Times New Roman" w:hAnsi="Times New Roman" w:cs="Times New Roman"/>
                <w:b/>
                <w:bCs/>
                <w:sz w:val="20"/>
                <w:szCs w:val="20"/>
              </w:rPr>
              <w:t>Regolamento UE 1303/2013 del Parlamento e del Consiglio</w:t>
            </w:r>
          </w:p>
        </w:tc>
        <w:tc>
          <w:tcPr>
            <w:tcW w:w="2479" w:type="pct"/>
            <w:shd w:val="clear" w:color="auto" w:fill="BDD6EE" w:themeFill="accent1" w:themeFillTint="66"/>
          </w:tcPr>
          <w:p w:rsidR="0050417E" w:rsidRPr="00E70DDA" w:rsidRDefault="0050417E" w:rsidP="00427F73">
            <w:pPr>
              <w:autoSpaceDE w:val="0"/>
              <w:autoSpaceDN w:val="0"/>
              <w:adjustRightInd w:val="0"/>
              <w:jc w:val="center"/>
              <w:rPr>
                <w:rFonts w:ascii="Times New Roman" w:hAnsi="Times New Roman" w:cs="Times New Roman"/>
                <w:b/>
                <w:bCs/>
                <w:sz w:val="20"/>
                <w:szCs w:val="20"/>
              </w:rPr>
            </w:pPr>
            <w:r w:rsidRPr="00E70DDA">
              <w:rPr>
                <w:rFonts w:ascii="Times New Roman" w:hAnsi="Times New Roman" w:cs="Times New Roman"/>
                <w:b/>
                <w:bCs/>
                <w:sz w:val="20"/>
                <w:szCs w:val="20"/>
              </w:rPr>
              <w:t>REGOLAMENTO GENERALE  1083/2006 [2007-2013]</w:t>
            </w:r>
          </w:p>
          <w:p w:rsidR="0050417E" w:rsidRPr="00E70DDA" w:rsidRDefault="0050417E" w:rsidP="00427F73">
            <w:pPr>
              <w:autoSpaceDE w:val="0"/>
              <w:autoSpaceDN w:val="0"/>
              <w:adjustRightInd w:val="0"/>
              <w:jc w:val="both"/>
              <w:rPr>
                <w:rFonts w:ascii="Times New Roman" w:hAnsi="Times New Roman" w:cs="Times New Roman"/>
                <w:i/>
                <w:iCs/>
                <w:sz w:val="20"/>
                <w:szCs w:val="20"/>
              </w:rPr>
            </w:pPr>
          </w:p>
        </w:tc>
      </w:tr>
      <w:tr w:rsidR="0050417E" w:rsidRPr="00E70DDA" w:rsidTr="00E70DDA">
        <w:trPr>
          <w:trHeight w:val="3781"/>
        </w:trPr>
        <w:tc>
          <w:tcPr>
            <w:tcW w:w="2521" w:type="pct"/>
          </w:tcPr>
          <w:p w:rsidR="0050417E" w:rsidRPr="0050417E" w:rsidRDefault="0050417E" w:rsidP="002D3000">
            <w:pPr>
              <w:autoSpaceDE w:val="0"/>
              <w:autoSpaceDN w:val="0"/>
              <w:adjustRightInd w:val="0"/>
              <w:spacing w:before="60" w:after="60" w:line="240" w:lineRule="auto"/>
              <w:jc w:val="both"/>
              <w:rPr>
                <w:rFonts w:ascii="Times New Roman" w:hAnsi="Times New Roman" w:cs="Times New Roman"/>
                <w:b/>
                <w:color w:val="000000"/>
                <w:sz w:val="20"/>
                <w:szCs w:val="20"/>
              </w:rPr>
            </w:pPr>
            <w:r w:rsidRPr="0050417E">
              <w:rPr>
                <w:rFonts w:ascii="Times New Roman" w:hAnsi="Times New Roman" w:cs="Times New Roman"/>
                <w:b/>
                <w:i/>
                <w:iCs/>
                <w:color w:val="000000"/>
                <w:sz w:val="20"/>
                <w:szCs w:val="20"/>
              </w:rPr>
              <w:t xml:space="preserve">Articolo 20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b/>
                <w:bCs/>
                <w:color w:val="000000"/>
                <w:sz w:val="20"/>
                <w:szCs w:val="20"/>
              </w:rPr>
              <w:t xml:space="preserve">Riserva di efficacia dell'attuazione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t>Il 6 % delle risorse destinate al FESR, al FSE e al Fondo di coesione, a titolo dell'obiettivo Investimenti in favore della crescita e dell'occupazione di cui all'articolo 89, paragrafo 2, lettera a), del presente regolamento, nonché al FEASR e alle misure finanziate a titolo di gestione concorrente conformemente al regolamento FEAMP, costituisce una riserva di efficacia dell'attuazione che è stabilita nell'accordo e nei programmi di partenariato ed è destinata a priorità specifiche conformemente all'articolo 22 del presente regolamento.</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t xml:space="preserve">Le seguenti risorse sono escluse ai fini del calcolo della riserva di efficacia dell'attuazione: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t xml:space="preserve">a) risorse destinate all'IOG come stabilito nel programma operativo conformemente all'articolo 18 del regolamento FSE;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t xml:space="preserve">b) risorse destinate all'assistenza tecnica su iniziativa della Commissione;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t xml:space="preserve">c) risorse trasferite dal primo pilastro della PAC al FEASR a norma dell'articolo 7, paragrafo 2, e dell'articolo 14, paragrafo 1, del regolamento (UE) n. 1307/2013;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t xml:space="preserve">d) trasferimenti al FEASR in applicazione degli articoli 10 ter, 136 e 136 ter del regolamento (CE) n. 73/2009 del Consiglio rispettivamente per le campagne 2013 e 2014;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t xml:space="preserve">e) risorse trasferite al CEF dal Fondo di coesione conformemente all'articolo 92, paragrafo 6, del presente regolamento;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t xml:space="preserve">f) risorse trasferite al Fondo europeo per gli aiuti alimentari alle persone indigenti conformemente all'articolo 92, paragrafo 7, del presente regolamento; </w:t>
            </w:r>
          </w:p>
          <w:p w:rsidR="0050417E" w:rsidRPr="00E70DDA" w:rsidRDefault="0050417E" w:rsidP="002D3000">
            <w:pPr>
              <w:jc w:val="both"/>
              <w:rPr>
                <w:rFonts w:ascii="Times New Roman" w:hAnsi="Times New Roman" w:cs="Times New Roman"/>
                <w:sz w:val="20"/>
                <w:szCs w:val="20"/>
              </w:rPr>
            </w:pPr>
            <w:r w:rsidRPr="00E70DDA">
              <w:rPr>
                <w:rFonts w:ascii="Times New Roman" w:hAnsi="Times New Roman" w:cs="Times New Roman"/>
                <w:color w:val="000000"/>
                <w:sz w:val="20"/>
                <w:szCs w:val="20"/>
              </w:rPr>
              <w:t>g) risorse destinate alle azioni innovative nel settore dello sviluppo urbano sostenibile conformemente all'articolo 92, paragrafo 8, del presente regolamento.</w:t>
            </w:r>
          </w:p>
        </w:tc>
        <w:tc>
          <w:tcPr>
            <w:tcW w:w="2479" w:type="pct"/>
          </w:tcPr>
          <w:p w:rsidR="0050417E" w:rsidRPr="00E70DDA" w:rsidRDefault="0050417E" w:rsidP="002D3000">
            <w:pPr>
              <w:autoSpaceDE w:val="0"/>
              <w:autoSpaceDN w:val="0"/>
              <w:adjustRightInd w:val="0"/>
              <w:spacing w:before="60" w:after="60" w:line="240" w:lineRule="auto"/>
              <w:jc w:val="both"/>
              <w:rPr>
                <w:rFonts w:ascii="Times New Roman" w:hAnsi="Times New Roman" w:cs="Times New Roman"/>
                <w:b/>
                <w:i/>
                <w:iCs/>
                <w:color w:val="000000"/>
                <w:sz w:val="20"/>
                <w:szCs w:val="20"/>
              </w:rPr>
            </w:pPr>
            <w:r w:rsidRPr="00E70DDA">
              <w:rPr>
                <w:rFonts w:ascii="Times New Roman" w:hAnsi="Times New Roman" w:cs="Times New Roman"/>
                <w:b/>
                <w:i/>
                <w:iCs/>
                <w:color w:val="000000"/>
                <w:sz w:val="20"/>
                <w:szCs w:val="20"/>
              </w:rPr>
              <w:t>Articolo 50</w:t>
            </w:r>
          </w:p>
          <w:p w:rsidR="0050417E" w:rsidRPr="00E70DDA" w:rsidRDefault="0050417E" w:rsidP="002D3000">
            <w:pPr>
              <w:autoSpaceDE w:val="0"/>
              <w:autoSpaceDN w:val="0"/>
              <w:adjustRightInd w:val="0"/>
              <w:spacing w:before="60" w:after="60" w:line="240" w:lineRule="auto"/>
              <w:jc w:val="both"/>
              <w:rPr>
                <w:rFonts w:ascii="Times New Roman" w:hAnsi="Times New Roman" w:cs="Times New Roman"/>
                <w:b/>
                <w:i/>
                <w:iCs/>
                <w:color w:val="000000"/>
                <w:sz w:val="20"/>
                <w:szCs w:val="20"/>
              </w:rPr>
            </w:pPr>
            <w:r w:rsidRPr="00E70DDA">
              <w:rPr>
                <w:rFonts w:ascii="Times New Roman" w:hAnsi="Times New Roman" w:cs="Times New Roman"/>
                <w:b/>
                <w:i/>
                <w:iCs/>
                <w:color w:val="000000"/>
                <w:sz w:val="20"/>
                <w:szCs w:val="20"/>
              </w:rPr>
              <w:t>Riserva nazionale di efficacia ed efficienza</w:t>
            </w:r>
          </w:p>
          <w:p w:rsidR="0050417E" w:rsidRPr="00E70DDA" w:rsidRDefault="0050417E" w:rsidP="002D3000">
            <w:pPr>
              <w:autoSpaceDE w:val="0"/>
              <w:autoSpaceDN w:val="0"/>
              <w:adjustRightInd w:val="0"/>
              <w:spacing w:after="0" w:line="240" w:lineRule="auto"/>
              <w:jc w:val="both"/>
              <w:rPr>
                <w:rFonts w:ascii="Times New Roman" w:hAnsi="Times New Roman" w:cs="Times New Roman"/>
                <w:color w:val="000000"/>
                <w:sz w:val="20"/>
                <w:szCs w:val="20"/>
              </w:rPr>
            </w:pPr>
            <w:r w:rsidRPr="00E70DDA">
              <w:rPr>
                <w:rFonts w:ascii="Times New Roman" w:hAnsi="Times New Roman" w:cs="Times New Roman"/>
                <w:color w:val="000000"/>
                <w:sz w:val="20"/>
                <w:szCs w:val="20"/>
              </w:rPr>
              <w:t>1. Uno Stato membro può decidere, di propria iniziativa, di istituire una riserva nazionale di efficacia ed efficienza per l'obiettivo «Convergenza» e/o per l'obiettivo «Competitività Regionale e occupazione», pari, per ogni obiettivo, al 3 % della propria dotazione complessiva.</w:t>
            </w:r>
          </w:p>
          <w:p w:rsidR="0050417E" w:rsidRPr="00E70DDA" w:rsidRDefault="0050417E" w:rsidP="002D3000">
            <w:pPr>
              <w:autoSpaceDE w:val="0"/>
              <w:autoSpaceDN w:val="0"/>
              <w:adjustRightInd w:val="0"/>
              <w:spacing w:after="0" w:line="240" w:lineRule="auto"/>
              <w:jc w:val="both"/>
              <w:rPr>
                <w:rFonts w:ascii="Times New Roman" w:hAnsi="Times New Roman" w:cs="Times New Roman"/>
                <w:color w:val="000000"/>
                <w:sz w:val="20"/>
                <w:szCs w:val="20"/>
              </w:rPr>
            </w:pPr>
            <w:r w:rsidRPr="00E70DDA">
              <w:rPr>
                <w:rFonts w:ascii="Times New Roman" w:hAnsi="Times New Roman" w:cs="Times New Roman"/>
                <w:color w:val="000000"/>
                <w:sz w:val="20"/>
                <w:szCs w:val="20"/>
              </w:rPr>
              <w:t>2. Se uno Stato membro ha deciso di istituire tale riserva, esso valuta, per ciascuno degli obiettivi e non oltre il 30 giugno</w:t>
            </w:r>
          </w:p>
          <w:p w:rsidR="0050417E" w:rsidRPr="00E70DDA" w:rsidRDefault="0050417E" w:rsidP="002D3000">
            <w:pPr>
              <w:autoSpaceDE w:val="0"/>
              <w:autoSpaceDN w:val="0"/>
              <w:adjustRightInd w:val="0"/>
              <w:spacing w:after="0" w:line="240" w:lineRule="auto"/>
              <w:jc w:val="both"/>
              <w:rPr>
                <w:rFonts w:ascii="Times New Roman" w:hAnsi="Times New Roman" w:cs="Times New Roman"/>
                <w:color w:val="000000"/>
                <w:sz w:val="20"/>
                <w:szCs w:val="20"/>
              </w:rPr>
            </w:pPr>
            <w:r w:rsidRPr="00E70DDA">
              <w:rPr>
                <w:rFonts w:ascii="Times New Roman" w:hAnsi="Times New Roman" w:cs="Times New Roman"/>
                <w:color w:val="000000"/>
                <w:sz w:val="20"/>
                <w:szCs w:val="20"/>
              </w:rPr>
              <w:t>2011, l'efficacia e l'efficienza dei suoi programmi operativi.</w:t>
            </w:r>
          </w:p>
          <w:p w:rsidR="0050417E" w:rsidRPr="00E70DDA" w:rsidRDefault="0050417E" w:rsidP="002D3000">
            <w:pPr>
              <w:autoSpaceDE w:val="0"/>
              <w:autoSpaceDN w:val="0"/>
              <w:adjustRightInd w:val="0"/>
              <w:spacing w:after="0" w:line="240" w:lineRule="auto"/>
              <w:jc w:val="both"/>
              <w:rPr>
                <w:rFonts w:ascii="Times New Roman" w:hAnsi="Times New Roman" w:cs="Times New Roman"/>
                <w:color w:val="000000"/>
                <w:sz w:val="20"/>
                <w:szCs w:val="20"/>
              </w:rPr>
            </w:pPr>
            <w:r w:rsidRPr="00E70DDA">
              <w:rPr>
                <w:rFonts w:ascii="Times New Roman" w:hAnsi="Times New Roman" w:cs="Times New Roman"/>
                <w:color w:val="000000"/>
                <w:sz w:val="20"/>
                <w:szCs w:val="20"/>
              </w:rPr>
              <w:t>3. Entro il 31 dicembre 2011, la Commissione assegna, sulla base delle proposte di ciascuno Stato membro interessato e in stretta consultazione con questo, la riserva nazionale di efficacia ed efficienza.</w:t>
            </w:r>
          </w:p>
          <w:p w:rsidR="00E845C7" w:rsidRPr="00E70DDA" w:rsidRDefault="00E845C7" w:rsidP="002D3000">
            <w:pPr>
              <w:autoSpaceDE w:val="0"/>
              <w:autoSpaceDN w:val="0"/>
              <w:adjustRightInd w:val="0"/>
              <w:spacing w:after="0" w:line="240" w:lineRule="auto"/>
              <w:jc w:val="both"/>
              <w:rPr>
                <w:rFonts w:ascii="Times New Roman" w:hAnsi="Times New Roman" w:cs="Times New Roman"/>
                <w:color w:val="000000"/>
                <w:sz w:val="20"/>
                <w:szCs w:val="20"/>
              </w:rPr>
            </w:pPr>
          </w:p>
          <w:p w:rsidR="00E845C7" w:rsidRPr="00E70DDA" w:rsidRDefault="00E845C7" w:rsidP="002D3000">
            <w:pPr>
              <w:autoSpaceDE w:val="0"/>
              <w:autoSpaceDN w:val="0"/>
              <w:adjustRightInd w:val="0"/>
              <w:spacing w:after="0" w:line="240" w:lineRule="auto"/>
              <w:jc w:val="both"/>
              <w:rPr>
                <w:rFonts w:ascii="Times New Roman" w:hAnsi="Times New Roman" w:cs="Times New Roman"/>
                <w:color w:val="000000"/>
                <w:sz w:val="20"/>
                <w:szCs w:val="20"/>
              </w:rPr>
            </w:pPr>
          </w:p>
          <w:p w:rsidR="0050417E" w:rsidRPr="00E70DDA" w:rsidRDefault="0050417E" w:rsidP="002D3000">
            <w:pPr>
              <w:autoSpaceDE w:val="0"/>
              <w:autoSpaceDN w:val="0"/>
              <w:adjustRightInd w:val="0"/>
              <w:spacing w:after="0" w:line="240" w:lineRule="auto"/>
              <w:jc w:val="both"/>
              <w:rPr>
                <w:rFonts w:ascii="Times New Roman" w:hAnsi="Times New Roman" w:cs="Times New Roman"/>
                <w:color w:val="000000"/>
                <w:sz w:val="20"/>
                <w:szCs w:val="20"/>
              </w:rPr>
            </w:pPr>
          </w:p>
        </w:tc>
      </w:tr>
      <w:tr w:rsidR="00E845C7" w:rsidRPr="00E70DDA" w:rsidTr="00E70DDA">
        <w:tc>
          <w:tcPr>
            <w:tcW w:w="2521" w:type="pct"/>
            <w:shd w:val="clear" w:color="auto" w:fill="FFFFFF" w:themeFill="background1"/>
          </w:tcPr>
          <w:p w:rsidR="00E845C7" w:rsidRPr="00E70DDA" w:rsidRDefault="00E845C7" w:rsidP="0050417E">
            <w:pPr>
              <w:autoSpaceDE w:val="0"/>
              <w:autoSpaceDN w:val="0"/>
              <w:adjustRightInd w:val="0"/>
              <w:spacing w:before="60" w:after="60" w:line="240" w:lineRule="auto"/>
              <w:rPr>
                <w:rFonts w:ascii="Times New Roman" w:hAnsi="Times New Roman" w:cs="Times New Roman"/>
                <w:b/>
                <w:i/>
                <w:iCs/>
                <w:color w:val="000000"/>
                <w:sz w:val="20"/>
                <w:szCs w:val="20"/>
              </w:rPr>
            </w:pPr>
          </w:p>
          <w:p w:rsidR="00E845C7" w:rsidRPr="00E70DDA" w:rsidRDefault="00E845C7" w:rsidP="0050417E">
            <w:pPr>
              <w:autoSpaceDE w:val="0"/>
              <w:autoSpaceDN w:val="0"/>
              <w:adjustRightInd w:val="0"/>
              <w:spacing w:before="60" w:after="60" w:line="240" w:lineRule="auto"/>
              <w:rPr>
                <w:rFonts w:ascii="Times New Roman" w:hAnsi="Times New Roman" w:cs="Times New Roman"/>
                <w:b/>
                <w:i/>
                <w:iCs/>
                <w:color w:val="000000"/>
                <w:sz w:val="20"/>
                <w:szCs w:val="20"/>
              </w:rPr>
            </w:pPr>
          </w:p>
          <w:p w:rsidR="00E845C7" w:rsidRPr="00E70DDA" w:rsidRDefault="00E845C7" w:rsidP="0050417E">
            <w:pPr>
              <w:autoSpaceDE w:val="0"/>
              <w:autoSpaceDN w:val="0"/>
              <w:adjustRightInd w:val="0"/>
              <w:spacing w:before="60" w:after="60" w:line="240" w:lineRule="auto"/>
              <w:rPr>
                <w:rFonts w:ascii="Times New Roman" w:hAnsi="Times New Roman" w:cs="Times New Roman"/>
                <w:b/>
                <w:i/>
                <w:iCs/>
                <w:color w:val="000000"/>
                <w:sz w:val="20"/>
                <w:szCs w:val="20"/>
              </w:rPr>
            </w:pPr>
          </w:p>
          <w:p w:rsidR="00E845C7" w:rsidRPr="00E70DDA" w:rsidRDefault="00E845C7" w:rsidP="0050417E">
            <w:pPr>
              <w:autoSpaceDE w:val="0"/>
              <w:autoSpaceDN w:val="0"/>
              <w:adjustRightInd w:val="0"/>
              <w:spacing w:before="60" w:after="60" w:line="240" w:lineRule="auto"/>
              <w:rPr>
                <w:rFonts w:ascii="Times New Roman" w:hAnsi="Times New Roman" w:cs="Times New Roman"/>
                <w:b/>
                <w:i/>
                <w:iCs/>
                <w:color w:val="000000"/>
                <w:sz w:val="20"/>
                <w:szCs w:val="20"/>
              </w:rPr>
            </w:pPr>
          </w:p>
          <w:p w:rsidR="00E845C7" w:rsidRPr="00E70DDA" w:rsidRDefault="00E845C7" w:rsidP="0050417E">
            <w:pPr>
              <w:autoSpaceDE w:val="0"/>
              <w:autoSpaceDN w:val="0"/>
              <w:adjustRightInd w:val="0"/>
              <w:spacing w:before="60" w:after="60" w:line="240" w:lineRule="auto"/>
              <w:rPr>
                <w:rFonts w:ascii="Times New Roman" w:hAnsi="Times New Roman" w:cs="Times New Roman"/>
                <w:b/>
                <w:i/>
                <w:iCs/>
                <w:color w:val="000000"/>
                <w:sz w:val="20"/>
                <w:szCs w:val="20"/>
              </w:rPr>
            </w:pPr>
          </w:p>
          <w:p w:rsidR="00E845C7" w:rsidRPr="00E70DDA" w:rsidRDefault="00E845C7" w:rsidP="0050417E">
            <w:pPr>
              <w:autoSpaceDE w:val="0"/>
              <w:autoSpaceDN w:val="0"/>
              <w:adjustRightInd w:val="0"/>
              <w:spacing w:before="60" w:after="60" w:line="240" w:lineRule="auto"/>
              <w:rPr>
                <w:rFonts w:ascii="Times New Roman" w:hAnsi="Times New Roman" w:cs="Times New Roman"/>
                <w:b/>
                <w:i/>
                <w:iCs/>
                <w:color w:val="000000"/>
                <w:sz w:val="20"/>
                <w:szCs w:val="20"/>
              </w:rPr>
            </w:pPr>
          </w:p>
          <w:p w:rsidR="00E845C7" w:rsidRPr="00E70DDA" w:rsidRDefault="00E845C7" w:rsidP="0050417E">
            <w:pPr>
              <w:autoSpaceDE w:val="0"/>
              <w:autoSpaceDN w:val="0"/>
              <w:adjustRightInd w:val="0"/>
              <w:spacing w:before="60" w:after="60" w:line="240" w:lineRule="auto"/>
              <w:rPr>
                <w:rFonts w:ascii="Times New Roman" w:hAnsi="Times New Roman" w:cs="Times New Roman"/>
                <w:b/>
                <w:i/>
                <w:iCs/>
                <w:color w:val="000000"/>
                <w:sz w:val="20"/>
                <w:szCs w:val="20"/>
              </w:rPr>
            </w:pPr>
          </w:p>
          <w:p w:rsidR="00E845C7" w:rsidRPr="00E70DDA" w:rsidRDefault="00E845C7" w:rsidP="0050417E">
            <w:pPr>
              <w:autoSpaceDE w:val="0"/>
              <w:autoSpaceDN w:val="0"/>
              <w:adjustRightInd w:val="0"/>
              <w:spacing w:before="60" w:after="60" w:line="240" w:lineRule="auto"/>
              <w:rPr>
                <w:rFonts w:ascii="Times New Roman" w:hAnsi="Times New Roman" w:cs="Times New Roman"/>
                <w:b/>
                <w:i/>
                <w:iCs/>
                <w:color w:val="000000"/>
                <w:sz w:val="20"/>
                <w:szCs w:val="20"/>
              </w:rPr>
            </w:pPr>
          </w:p>
          <w:p w:rsidR="00E845C7" w:rsidRPr="00E70DDA" w:rsidRDefault="00E845C7" w:rsidP="0050417E">
            <w:pPr>
              <w:autoSpaceDE w:val="0"/>
              <w:autoSpaceDN w:val="0"/>
              <w:adjustRightInd w:val="0"/>
              <w:spacing w:before="60" w:after="60" w:line="240" w:lineRule="auto"/>
              <w:rPr>
                <w:rFonts w:ascii="Times New Roman" w:hAnsi="Times New Roman" w:cs="Times New Roman"/>
                <w:b/>
                <w:i/>
                <w:iCs/>
                <w:color w:val="000000"/>
                <w:sz w:val="20"/>
                <w:szCs w:val="20"/>
              </w:rPr>
            </w:pPr>
          </w:p>
          <w:p w:rsidR="00E845C7" w:rsidRPr="00E70DDA" w:rsidRDefault="00E845C7" w:rsidP="0050417E">
            <w:pPr>
              <w:autoSpaceDE w:val="0"/>
              <w:autoSpaceDN w:val="0"/>
              <w:adjustRightInd w:val="0"/>
              <w:spacing w:before="60" w:after="60" w:line="240" w:lineRule="auto"/>
              <w:rPr>
                <w:rFonts w:ascii="Times New Roman" w:hAnsi="Times New Roman" w:cs="Times New Roman"/>
                <w:b/>
                <w:i/>
                <w:iCs/>
                <w:color w:val="000000"/>
                <w:sz w:val="20"/>
                <w:szCs w:val="20"/>
              </w:rPr>
            </w:pPr>
          </w:p>
        </w:tc>
        <w:tc>
          <w:tcPr>
            <w:tcW w:w="2479" w:type="pct"/>
          </w:tcPr>
          <w:p w:rsidR="00E845C7" w:rsidRPr="00E70DDA" w:rsidRDefault="00E845C7" w:rsidP="00E845C7">
            <w:pPr>
              <w:autoSpaceDE w:val="0"/>
              <w:autoSpaceDN w:val="0"/>
              <w:adjustRightInd w:val="0"/>
              <w:spacing w:after="0" w:line="240" w:lineRule="auto"/>
              <w:rPr>
                <w:rFonts w:ascii="Times New Roman" w:hAnsi="Times New Roman" w:cs="Times New Roman"/>
                <w:b/>
                <w:i/>
                <w:color w:val="000000"/>
                <w:sz w:val="20"/>
                <w:szCs w:val="20"/>
              </w:rPr>
            </w:pPr>
            <w:r w:rsidRPr="00E70DDA">
              <w:rPr>
                <w:rFonts w:ascii="Times New Roman" w:hAnsi="Times New Roman" w:cs="Times New Roman"/>
                <w:b/>
                <w:i/>
                <w:color w:val="000000"/>
                <w:sz w:val="20"/>
                <w:szCs w:val="20"/>
              </w:rPr>
              <w:lastRenderedPageBreak/>
              <w:t>Articolo 51</w:t>
            </w:r>
          </w:p>
          <w:p w:rsidR="00E845C7" w:rsidRPr="00E70DDA" w:rsidRDefault="00E845C7" w:rsidP="00E845C7">
            <w:pPr>
              <w:autoSpaceDE w:val="0"/>
              <w:autoSpaceDN w:val="0"/>
              <w:adjustRightInd w:val="0"/>
              <w:spacing w:after="0" w:line="240" w:lineRule="auto"/>
              <w:rPr>
                <w:rFonts w:ascii="Times New Roman" w:hAnsi="Times New Roman" w:cs="Times New Roman"/>
                <w:b/>
                <w:i/>
                <w:color w:val="000000"/>
                <w:sz w:val="20"/>
                <w:szCs w:val="20"/>
              </w:rPr>
            </w:pPr>
            <w:r w:rsidRPr="00E70DDA">
              <w:rPr>
                <w:rFonts w:ascii="Times New Roman" w:hAnsi="Times New Roman" w:cs="Times New Roman"/>
                <w:b/>
                <w:i/>
                <w:color w:val="000000"/>
                <w:sz w:val="20"/>
                <w:szCs w:val="20"/>
              </w:rPr>
              <w:t>Riserva nazionale per imprevisti</w:t>
            </w:r>
          </w:p>
          <w:p w:rsidR="00E845C7" w:rsidRPr="00E70DDA" w:rsidRDefault="00E845C7" w:rsidP="002D3000">
            <w:pPr>
              <w:autoSpaceDE w:val="0"/>
              <w:autoSpaceDN w:val="0"/>
              <w:adjustRightInd w:val="0"/>
              <w:spacing w:after="0" w:line="240" w:lineRule="auto"/>
              <w:jc w:val="both"/>
              <w:rPr>
                <w:rFonts w:ascii="Times New Roman" w:hAnsi="Times New Roman" w:cs="Times New Roman"/>
                <w:color w:val="000000"/>
                <w:sz w:val="20"/>
                <w:szCs w:val="20"/>
              </w:rPr>
            </w:pPr>
            <w:r w:rsidRPr="00E70DDA">
              <w:rPr>
                <w:rFonts w:ascii="Times New Roman" w:hAnsi="Times New Roman" w:cs="Times New Roman"/>
                <w:color w:val="000000"/>
                <w:sz w:val="20"/>
                <w:szCs w:val="20"/>
              </w:rPr>
              <w:t>Uno Stato membro può riservare, di propria iniziativa, una quota dell'importo del contributo annuale dei Fondi strutturali, pari all'1 % per l'obiettivo «Convergenza» e al 3 % per l'obiettivo</w:t>
            </w:r>
          </w:p>
          <w:p w:rsidR="00E845C7" w:rsidRPr="00E70DDA" w:rsidRDefault="00E845C7" w:rsidP="002D3000">
            <w:pPr>
              <w:autoSpaceDE w:val="0"/>
              <w:autoSpaceDN w:val="0"/>
              <w:adjustRightInd w:val="0"/>
              <w:spacing w:after="0" w:line="240" w:lineRule="auto"/>
              <w:jc w:val="both"/>
              <w:rPr>
                <w:rFonts w:ascii="Times New Roman" w:hAnsi="Times New Roman" w:cs="Times New Roman"/>
                <w:color w:val="000000"/>
                <w:sz w:val="20"/>
                <w:szCs w:val="20"/>
              </w:rPr>
            </w:pPr>
            <w:r w:rsidRPr="00E70DDA">
              <w:rPr>
                <w:rFonts w:ascii="Times New Roman" w:hAnsi="Times New Roman" w:cs="Times New Roman"/>
                <w:color w:val="000000"/>
                <w:sz w:val="20"/>
                <w:szCs w:val="20"/>
              </w:rPr>
              <w:lastRenderedPageBreak/>
              <w:t>«Competitività regionale e occupazione», per far fronte a crisi impreviste, locali o settoriali, legate alla ristrutturazione economica e sociale o alle conseguenze dell'apertura degli scambi.</w:t>
            </w:r>
          </w:p>
          <w:p w:rsidR="00E845C7" w:rsidRPr="00E70DDA" w:rsidRDefault="00E845C7" w:rsidP="00E845C7">
            <w:pPr>
              <w:autoSpaceDE w:val="0"/>
              <w:autoSpaceDN w:val="0"/>
              <w:adjustRightInd w:val="0"/>
              <w:spacing w:before="60" w:after="60"/>
              <w:jc w:val="both"/>
              <w:rPr>
                <w:rFonts w:ascii="Times New Roman" w:hAnsi="Times New Roman" w:cs="Times New Roman"/>
                <w:iCs/>
                <w:sz w:val="20"/>
                <w:szCs w:val="20"/>
              </w:rPr>
            </w:pPr>
            <w:r w:rsidRPr="00E70DDA">
              <w:rPr>
                <w:rFonts w:ascii="Times New Roman" w:hAnsi="Times New Roman" w:cs="Times New Roman"/>
                <w:color w:val="000000"/>
                <w:sz w:val="20"/>
                <w:szCs w:val="20"/>
              </w:rPr>
              <w:t>Lo Stato membro può assegnare la riserva per ciascun obiettivo a uno specifico programma nazionale o all'interno dei programmi operativi.</w:t>
            </w:r>
          </w:p>
        </w:tc>
      </w:tr>
      <w:tr w:rsidR="0050417E" w:rsidRPr="00E70DDA" w:rsidTr="00E70DDA">
        <w:tc>
          <w:tcPr>
            <w:tcW w:w="2521" w:type="pct"/>
            <w:shd w:val="clear" w:color="auto" w:fill="FFFFFF" w:themeFill="background1"/>
          </w:tcPr>
          <w:p w:rsidR="0050417E" w:rsidRPr="0050417E" w:rsidRDefault="0050417E" w:rsidP="002D3000">
            <w:pPr>
              <w:autoSpaceDE w:val="0"/>
              <w:autoSpaceDN w:val="0"/>
              <w:adjustRightInd w:val="0"/>
              <w:spacing w:before="60" w:after="60" w:line="240" w:lineRule="auto"/>
              <w:jc w:val="both"/>
              <w:rPr>
                <w:rFonts w:ascii="Times New Roman" w:hAnsi="Times New Roman" w:cs="Times New Roman"/>
                <w:b/>
                <w:color w:val="000000"/>
                <w:sz w:val="20"/>
                <w:szCs w:val="20"/>
              </w:rPr>
            </w:pPr>
            <w:r w:rsidRPr="0050417E">
              <w:rPr>
                <w:rFonts w:ascii="Times New Roman" w:hAnsi="Times New Roman" w:cs="Times New Roman"/>
                <w:b/>
                <w:i/>
                <w:iCs/>
                <w:color w:val="000000"/>
                <w:sz w:val="20"/>
                <w:szCs w:val="20"/>
              </w:rPr>
              <w:lastRenderedPageBreak/>
              <w:t xml:space="preserve">Articolo 21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b/>
                <w:bCs/>
                <w:color w:val="000000"/>
                <w:sz w:val="20"/>
                <w:szCs w:val="20"/>
              </w:rPr>
              <w:t xml:space="preserve">Verifica di efficacia dell’attuazione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t xml:space="preserve">1. La Commissione, in cooperazione con gli Stati membri, effettua una verifica dell'efficacia dell’attuazione dei programmi in ciascuno Stato membro nel 2019 (la "verifica dell'efficacia dell’attuazione"), alla luce del quadro di riferimento dell'efficacia dell'attuazione stabilito nei rispettivi programmi. Il metodo per definire il quadro di riferimento dell'efficacia dell'attuazione è descritto nell'allegato II. </w:t>
            </w:r>
          </w:p>
          <w:p w:rsidR="0050417E" w:rsidRPr="00E70DDA" w:rsidRDefault="0050417E" w:rsidP="002D3000">
            <w:pPr>
              <w:autoSpaceDE w:val="0"/>
              <w:autoSpaceDN w:val="0"/>
              <w:adjustRightInd w:val="0"/>
              <w:spacing w:before="60" w:after="60"/>
              <w:jc w:val="both"/>
              <w:rPr>
                <w:rFonts w:ascii="Times New Roman" w:hAnsi="Times New Roman" w:cs="Times New Roman"/>
                <w:color w:val="000000"/>
                <w:sz w:val="20"/>
                <w:szCs w:val="20"/>
              </w:rPr>
            </w:pPr>
            <w:r w:rsidRPr="00E70DDA">
              <w:rPr>
                <w:rFonts w:ascii="Times New Roman" w:hAnsi="Times New Roman" w:cs="Times New Roman"/>
                <w:color w:val="000000"/>
                <w:sz w:val="20"/>
                <w:szCs w:val="20"/>
              </w:rPr>
              <w:t>2. La verifica dell'efficacia dell’attuazione esamina il conseguimento dei target intermedi dei programmi a livello delle priorità, sulla base delle informazioni e delle valutazioni fornite nella relazione annuale sullo stato di attuazione presentata dagli Stati membri nel 2019.</w:t>
            </w:r>
          </w:p>
        </w:tc>
        <w:tc>
          <w:tcPr>
            <w:tcW w:w="2479" w:type="pct"/>
          </w:tcPr>
          <w:p w:rsidR="0050417E" w:rsidRPr="00E70DDA" w:rsidRDefault="0050417E" w:rsidP="0050417E">
            <w:pPr>
              <w:autoSpaceDE w:val="0"/>
              <w:autoSpaceDN w:val="0"/>
              <w:adjustRightInd w:val="0"/>
              <w:spacing w:before="60" w:after="60"/>
              <w:jc w:val="both"/>
              <w:rPr>
                <w:rFonts w:ascii="Times New Roman" w:hAnsi="Times New Roman" w:cs="Times New Roman"/>
                <w:iCs/>
                <w:sz w:val="20"/>
                <w:szCs w:val="20"/>
              </w:rPr>
            </w:pPr>
          </w:p>
        </w:tc>
      </w:tr>
      <w:tr w:rsidR="0050417E" w:rsidRPr="00E70DDA" w:rsidTr="00E70DDA">
        <w:tc>
          <w:tcPr>
            <w:tcW w:w="2521" w:type="pct"/>
            <w:shd w:val="clear" w:color="auto" w:fill="FFFFFF" w:themeFill="background1"/>
          </w:tcPr>
          <w:p w:rsidR="0050417E" w:rsidRPr="0050417E" w:rsidRDefault="0050417E" w:rsidP="002D3000">
            <w:pPr>
              <w:autoSpaceDE w:val="0"/>
              <w:autoSpaceDN w:val="0"/>
              <w:adjustRightInd w:val="0"/>
              <w:spacing w:before="60" w:after="60" w:line="240" w:lineRule="auto"/>
              <w:jc w:val="both"/>
              <w:rPr>
                <w:rFonts w:ascii="Times New Roman" w:hAnsi="Times New Roman" w:cs="Times New Roman"/>
                <w:b/>
                <w:i/>
                <w:color w:val="000000"/>
                <w:sz w:val="20"/>
                <w:szCs w:val="20"/>
              </w:rPr>
            </w:pPr>
            <w:r w:rsidRPr="0050417E">
              <w:rPr>
                <w:rFonts w:ascii="Times New Roman" w:hAnsi="Times New Roman" w:cs="Times New Roman"/>
                <w:b/>
                <w:i/>
                <w:iCs/>
                <w:color w:val="000000"/>
                <w:sz w:val="20"/>
                <w:szCs w:val="20"/>
              </w:rPr>
              <w:t xml:space="preserve">Articolo 22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i/>
                <w:color w:val="000000"/>
                <w:sz w:val="20"/>
                <w:szCs w:val="20"/>
              </w:rPr>
            </w:pPr>
            <w:r w:rsidRPr="0050417E">
              <w:rPr>
                <w:rFonts w:ascii="Times New Roman" w:hAnsi="Times New Roman" w:cs="Times New Roman"/>
                <w:b/>
                <w:bCs/>
                <w:i/>
                <w:color w:val="000000"/>
                <w:sz w:val="20"/>
                <w:szCs w:val="20"/>
              </w:rPr>
              <w:t xml:space="preserve">Applicazione del quadro di riferimento dell'efficacia dell'attuazione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t xml:space="preserve">1. La riserva di efficacia dell'attuazione corrisponde a una quota tra il 5 % e il 7 % della dotazione di ogni priorità di un programma, tranne in caso di priorità dedicate all'assistenza tecnica e programmi dedicati agli strumenti finanziari conformemente all'articolo 39. L'importo totale della riserva di efficacia dell'attuazione destinata per fondo SIE e categoria di regioni è pari al 6 %. Gli importi corrispondenti alla riserva di efficacia dell'attuazione sono stabiliti nei programmi suddivisi per priorità e, se del caso, per fondo SIE e per categoria di regioni.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t xml:space="preserve">2. Sulla base della verifica dell'efficacia dell'attuazione, entro due mesi dal ricevimento delle rispettive relazioni annuali di attuazione per il 2019, la Commissione adotta una decisione, mediante atti di esecuzione, che stabilisce per ciascun fondo SIE e ciascuno Stato membro i programmi e le priorità per i quali sono stati conseguiti i target intermedi, disaggregando tali dati per fondo SIE e per categoria di regioni, ove una priorità copra più di un fondo SIE o categoria di regioni.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t xml:space="preserve">3. La riserva di efficacia dell'attuazione è destinata soltanto a programmi e priorità che hanno conseguito i propri target intermedi. Se le priorità hanno conseguito i propri target intermedi, l'importo della riserva di efficacia dell'attuazione prevista per la priorità è ritenuta definitivamente assegnata sulla base della decisione della Commissione di cui al paragrafo 2.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lastRenderedPageBreak/>
              <w:t xml:space="preserve">4. Se le priorità non hanno conseguito i propri target intermedi, lo Stato membro propone una riassegnazione degli importi corrispondenti della riserva di efficacia dell'attuazione a priorità definite dalla decisione della Commissione di cui al paragrafo 2, nonché altre modifiche al programma risultanti dalla riassegnazione della riserva di efficacia dell'attuazione entro tre mesi dall'adozione della decisione di cui al paragrafo 2.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t xml:space="preserve">La Commissione approva la modifica dei programmi interessati conformemente all'articolo 30, paragrafi 3 e 4. Qualora uno Stato membro non fornisca le informazioni di cui all'articolo 50, paragrafi 5 e 6, la riserva di efficacia dell'attuazione per i programmi o le priorità interessati non viene assegnata ai programmi o priorità interessati.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t xml:space="preserve">5. La proposta dello Stato membro di riassegnare la riserva di efficacia dell'attuazione deve essere conforme ai requisiti di concentrazione tematica e alle assegnazioni minime stabiliti dal presente regolamento e dalle norme specifiche di ciascun Fondo. In via di deroga, se una o più delle priorità vincolate a requisiti di concentrazione tematica o assegnazioni minime non abbiano raggiunto i propri target intermedi, lo Stato membro può proporre una riassegnazione della riserva, che non deve attenersi ai requisiti di cui sopra e alle assegnazioni minime. </w:t>
            </w:r>
          </w:p>
          <w:p w:rsidR="0050417E" w:rsidRPr="00E70DDA" w:rsidRDefault="0050417E" w:rsidP="002D3000">
            <w:pPr>
              <w:spacing w:before="120" w:after="120"/>
              <w:ind w:left="567" w:hanging="567"/>
              <w:jc w:val="both"/>
              <w:rPr>
                <w:rFonts w:ascii="Times New Roman" w:hAnsi="Times New Roman" w:cs="Times New Roman"/>
                <w:color w:val="000000"/>
                <w:sz w:val="20"/>
                <w:szCs w:val="20"/>
              </w:rPr>
            </w:pPr>
            <w:r w:rsidRPr="00E70DDA">
              <w:rPr>
                <w:rFonts w:ascii="Times New Roman" w:hAnsi="Times New Roman" w:cs="Times New Roman"/>
                <w:color w:val="000000"/>
                <w:sz w:val="20"/>
                <w:szCs w:val="20"/>
              </w:rPr>
              <w:t>6. Qualora la verifica dell’efficacia dell’attuazione per una priorità dimostri che vi è stata una grave carenza nel conseguire i target intermedi di detta priorità inerenti esclusivamente a indicatori finanziari e di output, nonché alle fasi di attuazione principali stabilite nel quadro di riferimento dell'efficacia dell'attuazione e che tale carenza è imputabile a debolezze nell'attuazione chiaramente identificabili che la Commissione aveva precedentemente comunicato ai sensi dell'articolo 50, paragrafo 8, previa stretta consultazione con lo Stato membro interessato, e lo Stato membro non ha adottato le azioni correttive necessarie per risolvere tali debolezze, la Commissione può, non prima di cinque mesi da tale comunicazione, sospendere del tutto o in parte un pagamento intermedio relativo a una priorità di un programma secondo la procedura di cui alle norme specifiche di ciascun Fondo.</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t xml:space="preserve">La Commissione pone fine senza indugio alla sospensione dei pagamenti intermedi allorquando lo Stato membro abbia adottato le necessarie misure correttive. Ove le misure correttive riguardino il trasferimento di dotazioni finanziarie ad altri programmi o priorità, per i quali siano stati raggiunti i target intermedi, la Commissione approva, mediante un atto di esecuzione, la necessaria modifica dei programmi in questione ai sensi dell'articolo 30, paragrafo 2. In deroga all'articolo 30, paragrafo 2, in tal caso la Commissione decide in merito alla modifica entro due mesi dalla data di presentazione della richiesta di modifica dello Stato membro.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t xml:space="preserve">7. Se la Commissione, sulla base dell'esame del rapporto finale di attuazione del programma, stabilisce una grave carenza nel raggiungimento dei target finali relativi ai soli </w:t>
            </w:r>
            <w:r w:rsidRPr="0050417E">
              <w:rPr>
                <w:rFonts w:ascii="Times New Roman" w:hAnsi="Times New Roman" w:cs="Times New Roman"/>
                <w:color w:val="000000"/>
                <w:sz w:val="20"/>
                <w:szCs w:val="20"/>
              </w:rPr>
              <w:lastRenderedPageBreak/>
              <w:t xml:space="preserve">indicatori finanziari, indicatori di output e fasi di attuazione principali definiti nel quadro di riferimento dell'efficacia dell'attuazione a causa di debolezze di attuazione chiaramente identificate, che la Commissione aveva precedentemente comunicato ai sensi dell'articolo 50, paragrafo 8, in stretta consultazione con lo Stato membro interessato e lo Stato membro ha omesso di adottare le misure correttive necessarie per affrontare tali debolezze, la Commissione può, in deroga all'articolo 85, applicare rettifiche finanziarie relative alle priorità interessate conformemente alle norme specifiche di ciascun Fondo.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t xml:space="preserve">Quando applica le rettifiche finanziarie, la Commissione tiene conto, nel rispetto del principio di proporzionalità, del livello di assorbimento e di fattori esterni che contribuiscono alla carenza. </w:t>
            </w:r>
          </w:p>
          <w:p w:rsidR="0050417E" w:rsidRPr="0050417E"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t xml:space="preserve">Le rettifiche finanziarie non si applicano quando il mancato raggiungimento dei target finali sia dovuto all'impatto dei fattori socio-economici o ambientali, di cambiamenti significativi nelle condizioni economiche o ambientali nello Stato membro interessato o per cause di forza maggiore che compromettono gravemente l'attuazione delle priorità interessate. </w:t>
            </w:r>
          </w:p>
          <w:p w:rsidR="00411F52"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50417E">
              <w:rPr>
                <w:rFonts w:ascii="Times New Roman" w:hAnsi="Times New Roman" w:cs="Times New Roman"/>
                <w:color w:val="000000"/>
                <w:sz w:val="20"/>
                <w:szCs w:val="20"/>
              </w:rPr>
              <w:t xml:space="preserve">La Commissione ha il potere di adottare atti delegati ai sensi dell'articolo 149 per stabilire norme dettagliate sui criteri per determinare il livello di rettifica finanziaria da applicare. </w:t>
            </w:r>
          </w:p>
          <w:p w:rsidR="0050417E" w:rsidRPr="00E70DDA" w:rsidRDefault="0050417E" w:rsidP="002D3000">
            <w:pPr>
              <w:autoSpaceDE w:val="0"/>
              <w:autoSpaceDN w:val="0"/>
              <w:adjustRightInd w:val="0"/>
              <w:spacing w:before="60" w:after="60" w:line="240" w:lineRule="auto"/>
              <w:jc w:val="both"/>
              <w:rPr>
                <w:rFonts w:ascii="Times New Roman" w:hAnsi="Times New Roman" w:cs="Times New Roman"/>
                <w:color w:val="000000"/>
                <w:sz w:val="20"/>
                <w:szCs w:val="20"/>
              </w:rPr>
            </w:pPr>
            <w:r w:rsidRPr="00E70DDA">
              <w:rPr>
                <w:rFonts w:ascii="Times New Roman" w:hAnsi="Times New Roman" w:cs="Times New Roman"/>
                <w:color w:val="000000"/>
                <w:sz w:val="20"/>
                <w:szCs w:val="20"/>
              </w:rPr>
              <w:t>La Commissione adotta a</w:t>
            </w:r>
            <w:r w:rsidR="00411F52">
              <w:rPr>
                <w:rFonts w:ascii="Times New Roman" w:hAnsi="Times New Roman" w:cs="Times New Roman"/>
                <w:color w:val="000000"/>
                <w:sz w:val="20"/>
                <w:szCs w:val="20"/>
              </w:rPr>
              <w:t xml:space="preserve">tti di esecuzione per stabilire </w:t>
            </w:r>
            <w:r w:rsidRPr="00E70DDA">
              <w:rPr>
                <w:rFonts w:ascii="Times New Roman" w:hAnsi="Times New Roman" w:cs="Times New Roman"/>
                <w:color w:val="000000"/>
                <w:sz w:val="20"/>
                <w:szCs w:val="20"/>
              </w:rPr>
              <w:t>disposizioni dettagliate intese ad assicurare un approccio coerente mirato a determinare i target intermedi e finali nel quadro di riferimento dell'efficacia dell'attuazione e a valutare il conseguimento dei target intermedi e finali. Tali atti di esecuzione sono adottati secondo la procedura d'esame di cui all'articolo 150, paragrafo 3.</w:t>
            </w:r>
          </w:p>
        </w:tc>
        <w:tc>
          <w:tcPr>
            <w:tcW w:w="2479" w:type="pct"/>
          </w:tcPr>
          <w:p w:rsidR="0050417E" w:rsidRPr="00E70DDA" w:rsidRDefault="0050417E" w:rsidP="00427F73">
            <w:pPr>
              <w:jc w:val="both"/>
              <w:rPr>
                <w:rFonts w:ascii="Times New Roman" w:hAnsi="Times New Roman" w:cs="Times New Roman"/>
                <w:iCs/>
                <w:sz w:val="20"/>
                <w:szCs w:val="20"/>
              </w:rPr>
            </w:pPr>
          </w:p>
        </w:tc>
      </w:tr>
    </w:tbl>
    <w:p w:rsidR="0050417E" w:rsidRPr="00E70DDA" w:rsidRDefault="0050417E" w:rsidP="004A3BD4">
      <w:pPr>
        <w:spacing w:after="0"/>
        <w:jc w:val="center"/>
        <w:rPr>
          <w:rFonts w:ascii="Times New Roman" w:hAnsi="Times New Roman" w:cs="Times New Roman"/>
          <w:b/>
          <w:sz w:val="20"/>
          <w:szCs w:val="20"/>
        </w:rPr>
      </w:pPr>
    </w:p>
    <w:p w:rsidR="0050417E" w:rsidRPr="00E70DDA" w:rsidRDefault="0050417E" w:rsidP="004A3BD4">
      <w:pPr>
        <w:spacing w:after="0"/>
        <w:jc w:val="center"/>
        <w:rPr>
          <w:rFonts w:ascii="Times New Roman" w:hAnsi="Times New Roman" w:cs="Times New Roman"/>
          <w:b/>
          <w:sz w:val="20"/>
          <w:szCs w:val="20"/>
        </w:rPr>
      </w:pPr>
    </w:p>
    <w:p w:rsidR="0050417E" w:rsidRPr="00E70DDA" w:rsidRDefault="0050417E" w:rsidP="004A3BD4">
      <w:pPr>
        <w:spacing w:after="0"/>
        <w:jc w:val="center"/>
        <w:rPr>
          <w:rFonts w:ascii="Times New Roman" w:hAnsi="Times New Roman" w:cs="Times New Roman"/>
          <w:b/>
          <w:sz w:val="20"/>
          <w:szCs w:val="20"/>
        </w:rPr>
      </w:pPr>
    </w:p>
    <w:p w:rsidR="00E70DDA" w:rsidRPr="00E70DDA" w:rsidRDefault="00E70DDA" w:rsidP="004A3BD4">
      <w:pPr>
        <w:spacing w:after="0"/>
        <w:jc w:val="center"/>
        <w:rPr>
          <w:rFonts w:ascii="Times New Roman" w:hAnsi="Times New Roman" w:cs="Times New Roman"/>
          <w:b/>
          <w:sz w:val="20"/>
          <w:szCs w:val="20"/>
        </w:rPr>
      </w:pPr>
    </w:p>
    <w:p w:rsidR="00E70DDA" w:rsidRPr="00E70DDA" w:rsidRDefault="00E70DDA" w:rsidP="004A3BD4">
      <w:pPr>
        <w:spacing w:after="0"/>
        <w:jc w:val="center"/>
        <w:rPr>
          <w:rFonts w:ascii="Times New Roman" w:hAnsi="Times New Roman" w:cs="Times New Roman"/>
          <w:b/>
          <w:sz w:val="20"/>
          <w:szCs w:val="20"/>
        </w:rPr>
      </w:pPr>
    </w:p>
    <w:p w:rsidR="00E70DDA" w:rsidRPr="00E70DDA" w:rsidRDefault="00E70DDA" w:rsidP="004A3BD4">
      <w:pPr>
        <w:spacing w:after="0"/>
        <w:jc w:val="center"/>
        <w:rPr>
          <w:rFonts w:ascii="Times New Roman" w:hAnsi="Times New Roman" w:cs="Times New Roman"/>
          <w:b/>
          <w:sz w:val="20"/>
          <w:szCs w:val="20"/>
        </w:rPr>
      </w:pPr>
    </w:p>
    <w:p w:rsidR="00E70DDA" w:rsidRPr="00E70DDA" w:rsidRDefault="00E70DDA" w:rsidP="004A3BD4">
      <w:pPr>
        <w:spacing w:after="0"/>
        <w:jc w:val="center"/>
        <w:rPr>
          <w:rFonts w:ascii="Times New Roman" w:hAnsi="Times New Roman" w:cs="Times New Roman"/>
          <w:b/>
          <w:sz w:val="20"/>
          <w:szCs w:val="20"/>
        </w:rPr>
      </w:pPr>
    </w:p>
    <w:p w:rsidR="00E70DDA" w:rsidRPr="00E70DDA" w:rsidRDefault="00E70DDA" w:rsidP="004A3BD4">
      <w:pPr>
        <w:spacing w:after="0"/>
        <w:jc w:val="center"/>
        <w:rPr>
          <w:rFonts w:ascii="Times New Roman" w:hAnsi="Times New Roman" w:cs="Times New Roman"/>
          <w:b/>
          <w:sz w:val="20"/>
          <w:szCs w:val="20"/>
        </w:rPr>
      </w:pPr>
    </w:p>
    <w:p w:rsidR="00E70DDA" w:rsidRPr="00E70DDA" w:rsidRDefault="00E70DDA" w:rsidP="004A3BD4">
      <w:pPr>
        <w:spacing w:after="0"/>
        <w:jc w:val="center"/>
        <w:rPr>
          <w:rFonts w:ascii="Times New Roman" w:hAnsi="Times New Roman" w:cs="Times New Roman"/>
          <w:b/>
          <w:sz w:val="20"/>
          <w:szCs w:val="20"/>
        </w:rPr>
      </w:pPr>
    </w:p>
    <w:p w:rsidR="0095786A" w:rsidRDefault="0095786A" w:rsidP="004A3BD4">
      <w:pPr>
        <w:spacing w:after="0"/>
        <w:jc w:val="center"/>
        <w:rPr>
          <w:rFonts w:ascii="Times New Roman" w:hAnsi="Times New Roman" w:cs="Times New Roman"/>
          <w:b/>
          <w:sz w:val="20"/>
          <w:szCs w:val="20"/>
        </w:rPr>
        <w:sectPr w:rsidR="0095786A" w:rsidSect="0095786A">
          <w:footerReference w:type="default" r:id="rId8"/>
          <w:pgSz w:w="16838" w:h="11906" w:orient="landscape"/>
          <w:pgMar w:top="1134" w:right="1417" w:bottom="1134" w:left="1134" w:header="708" w:footer="708" w:gutter="0"/>
          <w:cols w:space="708"/>
          <w:docGrid w:linePitch="360"/>
        </w:sectPr>
      </w:pPr>
    </w:p>
    <w:p w:rsidR="00E70DDA" w:rsidRDefault="00E70DDA" w:rsidP="004A3BD4">
      <w:pPr>
        <w:spacing w:after="0"/>
        <w:jc w:val="center"/>
        <w:rPr>
          <w:rFonts w:ascii="Times New Roman" w:hAnsi="Times New Roman" w:cs="Times New Roman"/>
          <w:b/>
        </w:rPr>
      </w:pPr>
      <w:r>
        <w:rPr>
          <w:rFonts w:ascii="Times New Roman" w:hAnsi="Times New Roman" w:cs="Times New Roman"/>
          <w:b/>
        </w:rPr>
        <w:lastRenderedPageBreak/>
        <w:t>PRIME RIFLESSIONI</w:t>
      </w:r>
    </w:p>
    <w:p w:rsidR="00E70DDA" w:rsidRDefault="00E70DDA" w:rsidP="004A3BD4">
      <w:pPr>
        <w:spacing w:after="0"/>
        <w:jc w:val="center"/>
        <w:rPr>
          <w:rFonts w:ascii="Times New Roman" w:hAnsi="Times New Roman" w:cs="Times New Roman"/>
          <w:b/>
        </w:rPr>
      </w:pPr>
    </w:p>
    <w:p w:rsidR="00C54870" w:rsidRPr="00E70DDA" w:rsidRDefault="00AD0D09" w:rsidP="004A3BD4">
      <w:pPr>
        <w:spacing w:after="0"/>
        <w:jc w:val="center"/>
        <w:rPr>
          <w:rFonts w:ascii="Times New Roman" w:hAnsi="Times New Roman" w:cs="Times New Roman"/>
          <w:b/>
          <w:i/>
        </w:rPr>
      </w:pPr>
      <w:r>
        <w:rPr>
          <w:rFonts w:ascii="Times New Roman" w:hAnsi="Times New Roman" w:cs="Times New Roman"/>
          <w:b/>
          <w:i/>
        </w:rPr>
        <w:t>Riserva di efficacia dell’attuazione</w:t>
      </w:r>
    </w:p>
    <w:p w:rsidR="00DE2F8C" w:rsidRDefault="00DE2F8C" w:rsidP="004A3BD4">
      <w:pPr>
        <w:spacing w:after="0"/>
        <w:jc w:val="center"/>
        <w:rPr>
          <w:rFonts w:ascii="Times New Roman" w:hAnsi="Times New Roman" w:cs="Times New Roman"/>
          <w:i/>
        </w:rPr>
      </w:pPr>
    </w:p>
    <w:p w:rsidR="00E70DDA" w:rsidRPr="00E70DDA" w:rsidRDefault="00E70DDA" w:rsidP="004A3BD4">
      <w:pPr>
        <w:spacing w:after="0"/>
        <w:jc w:val="center"/>
        <w:rPr>
          <w:rFonts w:ascii="Times New Roman" w:hAnsi="Times New Roman" w:cs="Times New Roman"/>
          <w:i/>
        </w:rPr>
      </w:pPr>
      <w:r>
        <w:rPr>
          <w:rFonts w:ascii="Times New Roman" w:hAnsi="Times New Roman" w:cs="Times New Roman"/>
          <w:i/>
        </w:rPr>
        <w:t xml:space="preserve">Articoli 20, 21 e 22 </w:t>
      </w:r>
      <w:r w:rsidR="0043584E">
        <w:rPr>
          <w:rFonts w:ascii="Times New Roman" w:hAnsi="Times New Roman" w:cs="Times New Roman"/>
          <w:i/>
        </w:rPr>
        <w:t xml:space="preserve">e Allegato II </w:t>
      </w:r>
      <w:r>
        <w:rPr>
          <w:rFonts w:ascii="Times New Roman" w:hAnsi="Times New Roman" w:cs="Times New Roman"/>
          <w:i/>
        </w:rPr>
        <w:t>del Regolamento Disposizioni Comuni</w:t>
      </w:r>
      <w:r w:rsidR="00257C5C">
        <w:rPr>
          <w:rFonts w:ascii="Times New Roman" w:hAnsi="Times New Roman" w:cs="Times New Roman"/>
          <w:i/>
        </w:rPr>
        <w:t xml:space="preserve"> (RDC)</w:t>
      </w:r>
    </w:p>
    <w:p w:rsidR="0050417E" w:rsidRPr="00E70DDA" w:rsidRDefault="0050417E" w:rsidP="004A3BD4">
      <w:pPr>
        <w:spacing w:after="0"/>
        <w:jc w:val="center"/>
        <w:rPr>
          <w:rFonts w:ascii="Times New Roman" w:hAnsi="Times New Roman" w:cs="Times New Roman"/>
          <w:i/>
        </w:rPr>
      </w:pPr>
    </w:p>
    <w:p w:rsidR="0050417E" w:rsidRPr="00E70DDA" w:rsidRDefault="0050417E" w:rsidP="00C54870">
      <w:pPr>
        <w:jc w:val="both"/>
        <w:rPr>
          <w:rFonts w:ascii="Times New Roman" w:hAnsi="Times New Roman" w:cs="Times New Roman"/>
        </w:rPr>
      </w:pPr>
    </w:p>
    <w:p w:rsidR="009701AB" w:rsidRPr="00E70DDA" w:rsidRDefault="00AC1076" w:rsidP="00BA4362">
      <w:pPr>
        <w:autoSpaceDE w:val="0"/>
        <w:autoSpaceDN w:val="0"/>
        <w:adjustRightInd w:val="0"/>
        <w:spacing w:after="0" w:line="240" w:lineRule="auto"/>
        <w:jc w:val="both"/>
        <w:rPr>
          <w:rFonts w:ascii="Times New Roman" w:hAnsi="Times New Roman" w:cs="Times New Roman"/>
        </w:rPr>
      </w:pPr>
      <w:r w:rsidRPr="00E70DDA">
        <w:rPr>
          <w:rFonts w:ascii="Times New Roman" w:hAnsi="Times New Roman" w:cs="Times New Roman"/>
        </w:rPr>
        <w:t xml:space="preserve">Nella attuale Programmazione era previsto un meccanismo che consentiva allo Stato Membro di decidere, di propria iniziativa, </w:t>
      </w:r>
      <w:r w:rsidR="00AD2BD7" w:rsidRPr="00E70DDA">
        <w:rPr>
          <w:rFonts w:ascii="Times New Roman" w:hAnsi="Times New Roman" w:cs="Times New Roman"/>
        </w:rPr>
        <w:t xml:space="preserve">l’istituzione </w:t>
      </w:r>
      <w:r w:rsidR="0049795A" w:rsidRPr="00E70DDA">
        <w:rPr>
          <w:rFonts w:ascii="Times New Roman" w:hAnsi="Times New Roman" w:cs="Times New Roman"/>
        </w:rPr>
        <w:t>della</w:t>
      </w:r>
      <w:r w:rsidRPr="00E70DDA">
        <w:rPr>
          <w:rFonts w:ascii="Times New Roman" w:hAnsi="Times New Roman" w:cs="Times New Roman"/>
          <w:b/>
          <w:i/>
        </w:rPr>
        <w:t xml:space="preserve"> Riserva nazionale di efficacia ed efficienza</w:t>
      </w:r>
      <w:r w:rsidRPr="00E70DDA">
        <w:rPr>
          <w:rFonts w:ascii="Times New Roman" w:hAnsi="Times New Roman" w:cs="Times New Roman"/>
        </w:rPr>
        <w:t xml:space="preserve">, pari per entrambi gli obiettivi «Convergenza» e «Competitività regionale e occupazione», </w:t>
      </w:r>
      <w:r w:rsidRPr="003B58C7">
        <w:rPr>
          <w:rFonts w:ascii="Times New Roman" w:hAnsi="Times New Roman" w:cs="Times New Roman"/>
          <w:b/>
        </w:rPr>
        <w:t>al 3 %</w:t>
      </w:r>
      <w:r w:rsidRPr="00E70DDA">
        <w:rPr>
          <w:rFonts w:ascii="Times New Roman" w:hAnsi="Times New Roman" w:cs="Times New Roman"/>
        </w:rPr>
        <w:t xml:space="preserve"> della propria dotazione complessiva. </w:t>
      </w:r>
      <w:r w:rsidR="0043584E">
        <w:rPr>
          <w:rFonts w:ascii="Times New Roman" w:hAnsi="Times New Roman" w:cs="Times New Roman"/>
        </w:rPr>
        <w:t xml:space="preserve">La </w:t>
      </w:r>
      <w:r w:rsidRPr="00E70DDA">
        <w:rPr>
          <w:rFonts w:ascii="Times New Roman" w:hAnsi="Times New Roman" w:cs="Times New Roman"/>
        </w:rPr>
        <w:t xml:space="preserve">decisione di istituire tale riserva impegnava lo Stato Membro </w:t>
      </w:r>
      <w:r w:rsidR="00D71073" w:rsidRPr="00E70DDA">
        <w:rPr>
          <w:rFonts w:ascii="Times New Roman" w:hAnsi="Times New Roman" w:cs="Times New Roman"/>
        </w:rPr>
        <w:t xml:space="preserve">ad effettuare una </w:t>
      </w:r>
      <w:r w:rsidRPr="00E70DDA">
        <w:rPr>
          <w:rFonts w:ascii="Times New Roman" w:hAnsi="Times New Roman" w:cs="Times New Roman"/>
        </w:rPr>
        <w:t>valuta</w:t>
      </w:r>
      <w:r w:rsidR="00DB337A" w:rsidRPr="00E70DDA">
        <w:rPr>
          <w:rFonts w:ascii="Times New Roman" w:hAnsi="Times New Roman" w:cs="Times New Roman"/>
        </w:rPr>
        <w:t>zione</w:t>
      </w:r>
      <w:r w:rsidR="0049795A" w:rsidRPr="00E70DDA">
        <w:rPr>
          <w:rFonts w:ascii="Times New Roman" w:hAnsi="Times New Roman" w:cs="Times New Roman"/>
        </w:rPr>
        <w:t xml:space="preserve"> dell'efficacia e dell’efficienza dei suoi programmi operativi</w:t>
      </w:r>
      <w:r w:rsidR="00DB337A" w:rsidRPr="00E70DDA">
        <w:rPr>
          <w:rFonts w:ascii="Times New Roman" w:hAnsi="Times New Roman" w:cs="Times New Roman"/>
        </w:rPr>
        <w:t>,</w:t>
      </w:r>
      <w:r w:rsidRPr="00E70DDA">
        <w:rPr>
          <w:rFonts w:ascii="Times New Roman" w:hAnsi="Times New Roman" w:cs="Times New Roman"/>
        </w:rPr>
        <w:t xml:space="preserve"> per ciascuno degli obiettivi e non oltre una scadenza (30 giugno 2011)</w:t>
      </w:r>
      <w:r w:rsidR="0049795A" w:rsidRPr="00E70DDA">
        <w:rPr>
          <w:rFonts w:ascii="Times New Roman" w:hAnsi="Times New Roman" w:cs="Times New Roman"/>
        </w:rPr>
        <w:t xml:space="preserve">. </w:t>
      </w:r>
      <w:r w:rsidR="00D71073" w:rsidRPr="00E70DDA">
        <w:rPr>
          <w:rFonts w:ascii="Times New Roman" w:hAnsi="Times New Roman" w:cs="Times New Roman"/>
        </w:rPr>
        <w:t>Per tale valutazione dell’efficac</w:t>
      </w:r>
      <w:r w:rsidR="007D4096" w:rsidRPr="00E70DDA">
        <w:rPr>
          <w:rFonts w:ascii="Times New Roman" w:hAnsi="Times New Roman" w:cs="Times New Roman"/>
        </w:rPr>
        <w:t>ia e dell’efficienza non c’era</w:t>
      </w:r>
      <w:r w:rsidR="00D71073" w:rsidRPr="00E70DDA">
        <w:rPr>
          <w:rFonts w:ascii="Times New Roman" w:hAnsi="Times New Roman" w:cs="Times New Roman"/>
        </w:rPr>
        <w:t xml:space="preserve"> </w:t>
      </w:r>
      <w:r w:rsidR="007D4096" w:rsidRPr="00E70DDA">
        <w:rPr>
          <w:rFonts w:ascii="Times New Roman" w:hAnsi="Times New Roman" w:cs="Times New Roman"/>
        </w:rPr>
        <w:t xml:space="preserve">un quadro di riferimento riferito all’intero processo di attuazione del programma. </w:t>
      </w:r>
      <w:r w:rsidRPr="00E70DDA">
        <w:rPr>
          <w:rFonts w:ascii="Times New Roman" w:hAnsi="Times New Roman" w:cs="Times New Roman"/>
        </w:rPr>
        <w:t xml:space="preserve">Entro sei mesi da questa autovalutazione la Commissione sulla base delle proposte di ciascuno Stato membro interessato e </w:t>
      </w:r>
      <w:r w:rsidRPr="00E70DDA">
        <w:rPr>
          <w:rFonts w:ascii="Times New Roman" w:hAnsi="Times New Roman" w:cs="Times New Roman"/>
          <w:i/>
        </w:rPr>
        <w:t>in stretta consultazione</w:t>
      </w:r>
      <w:r w:rsidRPr="00E70DDA">
        <w:rPr>
          <w:rFonts w:ascii="Times New Roman" w:hAnsi="Times New Roman" w:cs="Times New Roman"/>
        </w:rPr>
        <w:t xml:space="preserve"> con esso, assegnava la riserva nazionale di efficacia ed efficienza</w:t>
      </w:r>
      <w:r w:rsidR="00BA4362" w:rsidRPr="00E70DDA">
        <w:rPr>
          <w:rFonts w:ascii="Times New Roman" w:hAnsi="Times New Roman" w:cs="Times New Roman"/>
        </w:rPr>
        <w:t xml:space="preserve"> </w:t>
      </w:r>
      <w:r w:rsidR="00BA4362" w:rsidRPr="00E70DDA">
        <w:rPr>
          <w:rFonts w:ascii="Times New Roman" w:hAnsi="Times New Roman" w:cs="Times New Roman"/>
          <w:i/>
        </w:rPr>
        <w:t>(art. 50 Reg. UE 1083/2006)</w:t>
      </w:r>
      <w:r w:rsidRPr="00E70DDA">
        <w:rPr>
          <w:rFonts w:ascii="Times New Roman" w:hAnsi="Times New Roman" w:cs="Times New Roman"/>
        </w:rPr>
        <w:t xml:space="preserve">. La Riserva di efficacia ed efficienza era appunto </w:t>
      </w:r>
      <w:r w:rsidRPr="00E70DDA">
        <w:rPr>
          <w:rFonts w:ascii="Times New Roman" w:hAnsi="Times New Roman" w:cs="Times New Roman"/>
          <w:i/>
        </w:rPr>
        <w:t>nazionale</w:t>
      </w:r>
      <w:r w:rsidRPr="00E70DDA">
        <w:rPr>
          <w:rFonts w:ascii="Times New Roman" w:hAnsi="Times New Roman" w:cs="Times New Roman"/>
        </w:rPr>
        <w:t xml:space="preserve">, come nazionale era </w:t>
      </w:r>
      <w:r w:rsidR="00D71073" w:rsidRPr="00E70DDA">
        <w:rPr>
          <w:rFonts w:ascii="Times New Roman" w:hAnsi="Times New Roman" w:cs="Times New Roman"/>
        </w:rPr>
        <w:t xml:space="preserve">la </w:t>
      </w:r>
      <w:r w:rsidR="00D71073" w:rsidRPr="00E70DDA">
        <w:rPr>
          <w:rFonts w:ascii="Times New Roman" w:hAnsi="Times New Roman" w:cs="Times New Roman"/>
          <w:i/>
        </w:rPr>
        <w:t>Riserva per gli imprevisti</w:t>
      </w:r>
      <w:r w:rsidR="00D71073" w:rsidRPr="00E70DDA">
        <w:rPr>
          <w:rFonts w:ascii="Times New Roman" w:hAnsi="Times New Roman" w:cs="Times New Roman"/>
        </w:rPr>
        <w:t xml:space="preserve"> per un ammontare pari al</w:t>
      </w:r>
      <w:r w:rsidR="00BA4362" w:rsidRPr="00E70DDA">
        <w:rPr>
          <w:rFonts w:ascii="Times New Roman" w:hAnsi="Times New Roman" w:cs="Times New Roman"/>
        </w:rPr>
        <w:t xml:space="preserve"> 1% della dotazione complessiva per l'obiettivo «Convergenza» e al 3 % per l'obiettivo «Competitività regionale e occupazione», per far fronte a crisi impreviste, locali o settoriali, legate alla ristrutturazione economica e sociale o alle conseguenze dell'apertura degli scambi </w:t>
      </w:r>
      <w:r w:rsidR="00931B36" w:rsidRPr="00E70DDA">
        <w:rPr>
          <w:rFonts w:ascii="Times New Roman" w:hAnsi="Times New Roman" w:cs="Times New Roman"/>
          <w:i/>
        </w:rPr>
        <w:t>(art. 51 Reg. C</w:t>
      </w:r>
      <w:r w:rsidR="00BA4362" w:rsidRPr="00E70DDA">
        <w:rPr>
          <w:rFonts w:ascii="Times New Roman" w:hAnsi="Times New Roman" w:cs="Times New Roman"/>
          <w:i/>
        </w:rPr>
        <w:t>E 1083/2006).</w:t>
      </w:r>
      <w:r w:rsidR="009701AB" w:rsidRPr="00E70DDA">
        <w:rPr>
          <w:rFonts w:ascii="Times New Roman" w:hAnsi="Times New Roman" w:cs="Times New Roman"/>
        </w:rPr>
        <w:t xml:space="preserve"> </w:t>
      </w:r>
    </w:p>
    <w:p w:rsidR="009701AB" w:rsidRPr="00E70DDA" w:rsidRDefault="009701AB" w:rsidP="00BA4362">
      <w:pPr>
        <w:autoSpaceDE w:val="0"/>
        <w:autoSpaceDN w:val="0"/>
        <w:adjustRightInd w:val="0"/>
        <w:spacing w:after="0" w:line="240" w:lineRule="auto"/>
        <w:jc w:val="both"/>
        <w:rPr>
          <w:rFonts w:ascii="Times New Roman" w:hAnsi="Times New Roman" w:cs="Times New Roman"/>
        </w:rPr>
      </w:pPr>
    </w:p>
    <w:p w:rsidR="00E527A2" w:rsidRPr="00E70DDA" w:rsidRDefault="009701AB" w:rsidP="00EC6F44">
      <w:pPr>
        <w:autoSpaceDE w:val="0"/>
        <w:autoSpaceDN w:val="0"/>
        <w:adjustRightInd w:val="0"/>
        <w:spacing w:after="0" w:line="240" w:lineRule="auto"/>
        <w:jc w:val="both"/>
        <w:rPr>
          <w:rFonts w:ascii="Times New Roman" w:hAnsi="Times New Roman" w:cs="Times New Roman"/>
        </w:rPr>
      </w:pPr>
      <w:r w:rsidRPr="00E70DDA">
        <w:rPr>
          <w:rFonts w:ascii="Times New Roman" w:hAnsi="Times New Roman" w:cs="Times New Roman"/>
          <w:b/>
          <w:i/>
        </w:rPr>
        <w:t>La nuova riserva di efficacia dell’attuazione</w:t>
      </w:r>
      <w:r w:rsidRPr="00E70DDA">
        <w:rPr>
          <w:rFonts w:ascii="Times New Roman" w:hAnsi="Times New Roman" w:cs="Times New Roman"/>
        </w:rPr>
        <w:t xml:space="preserve"> corrisponde a una quota del </w:t>
      </w:r>
      <w:r w:rsidRPr="003B58C7">
        <w:rPr>
          <w:rFonts w:ascii="Times New Roman" w:hAnsi="Times New Roman" w:cs="Times New Roman"/>
          <w:b/>
        </w:rPr>
        <w:t>6%</w:t>
      </w:r>
      <w:r w:rsidRPr="00E70DDA">
        <w:rPr>
          <w:rFonts w:ascii="Times New Roman" w:hAnsi="Times New Roman" w:cs="Times New Roman"/>
        </w:rPr>
        <w:t xml:space="preserve"> delle risorse destinate al FESR</w:t>
      </w:r>
      <w:r w:rsidR="00E527A2" w:rsidRPr="00E70DDA">
        <w:rPr>
          <w:rFonts w:ascii="Times New Roman" w:hAnsi="Times New Roman" w:cs="Times New Roman"/>
        </w:rPr>
        <w:t xml:space="preserve">, al FSE e al Fondo di coesione, </w:t>
      </w:r>
      <w:r w:rsidR="00EC6F44" w:rsidRPr="00E70DDA">
        <w:rPr>
          <w:rFonts w:ascii="Times New Roman" w:hAnsi="Times New Roman" w:cs="Times New Roman"/>
        </w:rPr>
        <w:t xml:space="preserve">e la </w:t>
      </w:r>
      <w:r w:rsidR="00BA4362" w:rsidRPr="00E70DDA">
        <w:rPr>
          <w:rFonts w:ascii="Times New Roman" w:hAnsi="Times New Roman" w:cs="Times New Roman"/>
        </w:rPr>
        <w:t xml:space="preserve">novità </w:t>
      </w:r>
      <w:r w:rsidR="00E527A2" w:rsidRPr="00E70DDA">
        <w:rPr>
          <w:rFonts w:ascii="Times New Roman" w:hAnsi="Times New Roman" w:cs="Times New Roman"/>
        </w:rPr>
        <w:t>introdotta dal</w:t>
      </w:r>
      <w:r w:rsidR="00BA4362" w:rsidRPr="00E70DDA">
        <w:rPr>
          <w:rFonts w:ascii="Times New Roman" w:hAnsi="Times New Roman" w:cs="Times New Roman"/>
        </w:rPr>
        <w:t xml:space="preserve"> dettato regolamentare della futura programmazione </w:t>
      </w:r>
      <w:r w:rsidR="00AD2BD7" w:rsidRPr="00E70DDA">
        <w:rPr>
          <w:rFonts w:ascii="Times New Roman" w:hAnsi="Times New Roman" w:cs="Times New Roman"/>
        </w:rPr>
        <w:t xml:space="preserve">è </w:t>
      </w:r>
      <w:r w:rsidR="00BA4362" w:rsidRPr="00E70DDA">
        <w:rPr>
          <w:rFonts w:ascii="Times New Roman" w:hAnsi="Times New Roman" w:cs="Times New Roman"/>
        </w:rPr>
        <w:t xml:space="preserve">che </w:t>
      </w:r>
      <w:r w:rsidR="00EC6F44" w:rsidRPr="00E70DDA">
        <w:rPr>
          <w:rFonts w:ascii="Times New Roman" w:hAnsi="Times New Roman" w:cs="Times New Roman"/>
        </w:rPr>
        <w:t>essa,</w:t>
      </w:r>
      <w:r w:rsidR="00BA4362" w:rsidRPr="00E70DDA">
        <w:rPr>
          <w:rFonts w:ascii="Times New Roman" w:hAnsi="Times New Roman" w:cs="Times New Roman"/>
        </w:rPr>
        <w:t xml:space="preserve"> perde, per così dire, il carattere nazionale</w:t>
      </w:r>
      <w:r w:rsidR="00E527A2" w:rsidRPr="00E70DDA">
        <w:rPr>
          <w:rFonts w:ascii="Times New Roman" w:hAnsi="Times New Roman" w:cs="Times New Roman"/>
        </w:rPr>
        <w:t xml:space="preserve"> sotteso alla sua motivazione e decisione</w:t>
      </w:r>
      <w:r w:rsidR="00AD2BD7" w:rsidRPr="00E70DDA">
        <w:rPr>
          <w:rFonts w:ascii="Times New Roman" w:hAnsi="Times New Roman" w:cs="Times New Roman"/>
        </w:rPr>
        <w:t xml:space="preserve">, nel senso che non è </w:t>
      </w:r>
      <w:r w:rsidR="00E527A2" w:rsidRPr="00E70DDA">
        <w:rPr>
          <w:rFonts w:ascii="Times New Roman" w:hAnsi="Times New Roman" w:cs="Times New Roman"/>
        </w:rPr>
        <w:t xml:space="preserve">più </w:t>
      </w:r>
      <w:r w:rsidR="00AD2BD7" w:rsidRPr="00E70DDA">
        <w:rPr>
          <w:rFonts w:ascii="Times New Roman" w:hAnsi="Times New Roman" w:cs="Times New Roman"/>
        </w:rPr>
        <w:t>l</w:t>
      </w:r>
      <w:r w:rsidR="00BA4362" w:rsidRPr="00E70DDA">
        <w:rPr>
          <w:rFonts w:ascii="Times New Roman" w:hAnsi="Times New Roman" w:cs="Times New Roman"/>
        </w:rPr>
        <w:t>o Stato membr</w:t>
      </w:r>
      <w:r w:rsidR="00A53486" w:rsidRPr="00E70DDA">
        <w:rPr>
          <w:rFonts w:ascii="Times New Roman" w:hAnsi="Times New Roman" w:cs="Times New Roman"/>
        </w:rPr>
        <w:t>o</w:t>
      </w:r>
      <w:r w:rsidR="00E527A2" w:rsidRPr="00E70DDA">
        <w:rPr>
          <w:rFonts w:ascii="Times New Roman" w:hAnsi="Times New Roman" w:cs="Times New Roman"/>
        </w:rPr>
        <w:t xml:space="preserve"> a decidere di sua iniziativa </w:t>
      </w:r>
      <w:r w:rsidR="00A53486" w:rsidRPr="00E70DDA">
        <w:rPr>
          <w:rFonts w:ascii="Times New Roman" w:hAnsi="Times New Roman" w:cs="Times New Roman"/>
        </w:rPr>
        <w:t xml:space="preserve">e poi a </w:t>
      </w:r>
      <w:r w:rsidR="00AD2BD7" w:rsidRPr="00E70DDA">
        <w:rPr>
          <w:rFonts w:ascii="Times New Roman" w:hAnsi="Times New Roman" w:cs="Times New Roman"/>
        </w:rPr>
        <w:t xml:space="preserve">proporre una valutazione </w:t>
      </w:r>
      <w:r w:rsidR="00A53486" w:rsidRPr="00E70DDA">
        <w:rPr>
          <w:rFonts w:ascii="Times New Roman" w:hAnsi="Times New Roman" w:cs="Times New Roman"/>
        </w:rPr>
        <w:t xml:space="preserve">e </w:t>
      </w:r>
      <w:r w:rsidR="00AD2BD7" w:rsidRPr="00E70DDA">
        <w:rPr>
          <w:rFonts w:ascii="Times New Roman" w:hAnsi="Times New Roman" w:cs="Times New Roman"/>
        </w:rPr>
        <w:t xml:space="preserve">a </w:t>
      </w:r>
      <w:r w:rsidR="00A53486" w:rsidRPr="00E70DDA">
        <w:rPr>
          <w:rFonts w:ascii="Times New Roman" w:hAnsi="Times New Roman" w:cs="Times New Roman"/>
        </w:rPr>
        <w:t>“contrattar</w:t>
      </w:r>
      <w:r w:rsidR="00AD2BD7" w:rsidRPr="00E70DDA">
        <w:rPr>
          <w:rFonts w:ascii="Times New Roman" w:hAnsi="Times New Roman" w:cs="Times New Roman"/>
        </w:rPr>
        <w:t>n</w:t>
      </w:r>
      <w:r w:rsidR="00A53486" w:rsidRPr="00E70DDA">
        <w:rPr>
          <w:rFonts w:ascii="Times New Roman" w:hAnsi="Times New Roman" w:cs="Times New Roman"/>
        </w:rPr>
        <w:t xml:space="preserve">e </w:t>
      </w:r>
      <w:r w:rsidR="00AD2BD7" w:rsidRPr="00E70DDA">
        <w:rPr>
          <w:rFonts w:ascii="Times New Roman" w:hAnsi="Times New Roman" w:cs="Times New Roman"/>
        </w:rPr>
        <w:t>gli esiti” co</w:t>
      </w:r>
      <w:r w:rsidR="00E527A2" w:rsidRPr="00E70DDA">
        <w:rPr>
          <w:rFonts w:ascii="Times New Roman" w:hAnsi="Times New Roman" w:cs="Times New Roman"/>
        </w:rPr>
        <w:t>n la Commissione</w:t>
      </w:r>
      <w:r w:rsidR="00DA7A0A" w:rsidRPr="00E70DDA">
        <w:rPr>
          <w:rFonts w:ascii="Times New Roman" w:hAnsi="Times New Roman" w:cs="Times New Roman"/>
        </w:rPr>
        <w:t xml:space="preserve">. </w:t>
      </w:r>
    </w:p>
    <w:p w:rsidR="00E527A2" w:rsidRPr="00E70DDA" w:rsidRDefault="00E527A2" w:rsidP="00EC6F44">
      <w:pPr>
        <w:autoSpaceDE w:val="0"/>
        <w:autoSpaceDN w:val="0"/>
        <w:adjustRightInd w:val="0"/>
        <w:spacing w:after="0" w:line="240" w:lineRule="auto"/>
        <w:jc w:val="both"/>
        <w:rPr>
          <w:rFonts w:ascii="Times New Roman" w:hAnsi="Times New Roman" w:cs="Times New Roman"/>
        </w:rPr>
      </w:pPr>
    </w:p>
    <w:p w:rsidR="00743299" w:rsidRDefault="00AD2BD7" w:rsidP="00EC6F44">
      <w:pPr>
        <w:autoSpaceDE w:val="0"/>
        <w:autoSpaceDN w:val="0"/>
        <w:adjustRightInd w:val="0"/>
        <w:spacing w:after="0" w:line="240" w:lineRule="auto"/>
        <w:jc w:val="both"/>
        <w:rPr>
          <w:rFonts w:ascii="Times New Roman" w:hAnsi="Times New Roman" w:cs="Times New Roman"/>
          <w:i/>
        </w:rPr>
      </w:pPr>
      <w:r w:rsidRPr="00E70DDA">
        <w:rPr>
          <w:rFonts w:ascii="Times New Roman" w:hAnsi="Times New Roman" w:cs="Times New Roman"/>
        </w:rPr>
        <w:t>L</w:t>
      </w:r>
      <w:r w:rsidR="00BA4362" w:rsidRPr="00E70DDA">
        <w:rPr>
          <w:rFonts w:ascii="Times New Roman" w:hAnsi="Times New Roman" w:cs="Times New Roman"/>
        </w:rPr>
        <w:t>a costituzione di tale riserva viene stabilita nell’Accordo di partenariato</w:t>
      </w:r>
      <w:r w:rsidR="00DA7A0A" w:rsidRPr="00E70DDA">
        <w:rPr>
          <w:rFonts w:ascii="Times New Roman" w:hAnsi="Times New Roman" w:cs="Times New Roman"/>
        </w:rPr>
        <w:t xml:space="preserve"> ed è destinata a priorità specifiche</w:t>
      </w:r>
      <w:r w:rsidR="00931B36" w:rsidRPr="00E70DDA">
        <w:rPr>
          <w:rFonts w:ascii="Times New Roman" w:hAnsi="Times New Roman" w:cs="Times New Roman"/>
        </w:rPr>
        <w:t xml:space="preserve"> </w:t>
      </w:r>
      <w:r w:rsidR="00931B36" w:rsidRPr="00E70DDA">
        <w:rPr>
          <w:rFonts w:ascii="Times New Roman" w:hAnsi="Times New Roman" w:cs="Times New Roman"/>
          <w:i/>
        </w:rPr>
        <w:t>(art. 20 del Reg UE 1303/</w:t>
      </w:r>
      <w:r w:rsidR="00931B36" w:rsidRPr="00743299">
        <w:rPr>
          <w:rFonts w:ascii="Times New Roman" w:hAnsi="Times New Roman" w:cs="Times New Roman"/>
        </w:rPr>
        <w:t>2013</w:t>
      </w:r>
      <w:r w:rsidR="00743299">
        <w:rPr>
          <w:rFonts w:ascii="Times New Roman" w:hAnsi="Times New Roman" w:cs="Times New Roman"/>
        </w:rPr>
        <w:t xml:space="preserve">). </w:t>
      </w:r>
      <w:r w:rsidR="00743299" w:rsidRPr="00743299">
        <w:rPr>
          <w:rFonts w:ascii="Times New Roman" w:hAnsi="Times New Roman" w:cs="Times New Roman"/>
        </w:rPr>
        <w:t xml:space="preserve">Da una prima lettura del RDC risulterebbe ancora non chiaro se le priorità specifiche siano da intendersi come priorità di investimento o come Assi prioritari. Ma dal </w:t>
      </w:r>
      <w:proofErr w:type="spellStart"/>
      <w:r w:rsidR="00743299" w:rsidRPr="00743299">
        <w:rPr>
          <w:rFonts w:ascii="Times New Roman" w:hAnsi="Times New Roman" w:cs="Times New Roman"/>
          <w:i/>
        </w:rPr>
        <w:t>Draft</w:t>
      </w:r>
      <w:proofErr w:type="spellEnd"/>
      <w:r w:rsidR="00743299" w:rsidRPr="00743299">
        <w:rPr>
          <w:rFonts w:ascii="Times New Roman" w:hAnsi="Times New Roman" w:cs="Times New Roman"/>
          <w:i/>
        </w:rPr>
        <w:t xml:space="preserve"> </w:t>
      </w:r>
      <w:proofErr w:type="spellStart"/>
      <w:r w:rsidR="00743299" w:rsidRPr="00743299">
        <w:rPr>
          <w:rFonts w:ascii="Times New Roman" w:hAnsi="Times New Roman" w:cs="Times New Roman"/>
          <w:i/>
        </w:rPr>
        <w:t>Template</w:t>
      </w:r>
      <w:proofErr w:type="spellEnd"/>
      <w:r w:rsidR="00743299" w:rsidRPr="00743299">
        <w:rPr>
          <w:rFonts w:ascii="Times New Roman" w:hAnsi="Times New Roman" w:cs="Times New Roman"/>
          <w:i/>
        </w:rPr>
        <w:t xml:space="preserve"> </w:t>
      </w:r>
      <w:r w:rsidR="00743299" w:rsidRPr="00743299">
        <w:rPr>
          <w:rFonts w:ascii="Times New Roman" w:hAnsi="Times New Roman" w:cs="Times New Roman"/>
        </w:rPr>
        <w:t xml:space="preserve">per la predisposizione dei Programmi Operativi, si evince che la dotazione della riserva di efficacia è </w:t>
      </w:r>
      <w:r w:rsidR="0059452C">
        <w:rPr>
          <w:rFonts w:ascii="Times New Roman" w:hAnsi="Times New Roman" w:cs="Times New Roman"/>
        </w:rPr>
        <w:t>calcolata e allocata</w:t>
      </w:r>
      <w:r w:rsidR="00743299" w:rsidRPr="00743299">
        <w:rPr>
          <w:rFonts w:ascii="Times New Roman" w:hAnsi="Times New Roman" w:cs="Times New Roman"/>
        </w:rPr>
        <w:t xml:space="preserve"> per asse prioritario</w:t>
      </w:r>
      <w:r w:rsidR="00743299">
        <w:rPr>
          <w:rStyle w:val="Rimandonotaapidipagina"/>
          <w:rFonts w:ascii="Times New Roman" w:hAnsi="Times New Roman" w:cs="Times New Roman"/>
        </w:rPr>
        <w:footnoteReference w:id="1"/>
      </w:r>
      <w:r w:rsidR="00DA7A0A" w:rsidRPr="00743299">
        <w:rPr>
          <w:rFonts w:ascii="Times New Roman" w:hAnsi="Times New Roman" w:cs="Times New Roman"/>
        </w:rPr>
        <w:t>.</w:t>
      </w:r>
      <w:r w:rsidR="00DA7A0A" w:rsidRPr="00E70DDA">
        <w:rPr>
          <w:rFonts w:ascii="Times New Roman" w:hAnsi="Times New Roman" w:cs="Times New Roman"/>
          <w:i/>
        </w:rPr>
        <w:t xml:space="preserve"> </w:t>
      </w:r>
    </w:p>
    <w:p w:rsidR="00743299" w:rsidRDefault="00743299" w:rsidP="00EC6F44">
      <w:pPr>
        <w:autoSpaceDE w:val="0"/>
        <w:autoSpaceDN w:val="0"/>
        <w:adjustRightInd w:val="0"/>
        <w:spacing w:after="0" w:line="240" w:lineRule="auto"/>
        <w:jc w:val="both"/>
        <w:rPr>
          <w:rFonts w:ascii="Times New Roman" w:hAnsi="Times New Roman" w:cs="Times New Roman"/>
          <w:i/>
        </w:rPr>
      </w:pPr>
    </w:p>
    <w:p w:rsidR="00A53486" w:rsidRDefault="00743299" w:rsidP="00EC6F44">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La riserva di efficacia dell’attuazione </w:t>
      </w:r>
      <w:r w:rsidR="00A53486" w:rsidRPr="00E70DDA">
        <w:rPr>
          <w:rFonts w:ascii="Times New Roman" w:hAnsi="Times New Roman" w:cs="Times New Roman"/>
        </w:rPr>
        <w:t xml:space="preserve">viene assoggettata a </w:t>
      </w:r>
      <w:r w:rsidR="00BA4362" w:rsidRPr="00E70DDA">
        <w:rPr>
          <w:rFonts w:ascii="Times New Roman" w:hAnsi="Times New Roman" w:cs="Times New Roman"/>
        </w:rPr>
        <w:t xml:space="preserve">disposizioni comunitarie vincolanti </w:t>
      </w:r>
      <w:r w:rsidR="00A53486" w:rsidRPr="00E70DDA">
        <w:rPr>
          <w:rFonts w:ascii="Times New Roman" w:hAnsi="Times New Roman" w:cs="Times New Roman"/>
        </w:rPr>
        <w:t xml:space="preserve">che </w:t>
      </w:r>
      <w:r w:rsidR="007D4096" w:rsidRPr="00E70DDA">
        <w:rPr>
          <w:rFonts w:ascii="Times New Roman" w:hAnsi="Times New Roman" w:cs="Times New Roman"/>
        </w:rPr>
        <w:t xml:space="preserve">ne </w:t>
      </w:r>
      <w:r w:rsidR="00A53486" w:rsidRPr="00E70DDA">
        <w:rPr>
          <w:rFonts w:ascii="Times New Roman" w:hAnsi="Times New Roman" w:cs="Times New Roman"/>
        </w:rPr>
        <w:t xml:space="preserve">definiscono </w:t>
      </w:r>
      <w:r w:rsidR="007D4096" w:rsidRPr="00E70DDA">
        <w:rPr>
          <w:rFonts w:ascii="Times New Roman" w:hAnsi="Times New Roman" w:cs="Times New Roman"/>
        </w:rPr>
        <w:t>l’applicazione</w:t>
      </w:r>
      <w:r w:rsidR="00A53486" w:rsidRPr="00E70DDA">
        <w:rPr>
          <w:rFonts w:ascii="Times New Roman" w:hAnsi="Times New Roman" w:cs="Times New Roman"/>
        </w:rPr>
        <w:t xml:space="preserve">, introducendo la significativa novità della </w:t>
      </w:r>
      <w:r w:rsidR="00A53486" w:rsidRPr="00E70DDA">
        <w:rPr>
          <w:rFonts w:ascii="Times New Roman" w:hAnsi="Times New Roman" w:cs="Times New Roman"/>
          <w:b/>
          <w:i/>
        </w:rPr>
        <w:t xml:space="preserve">previsione di un quadro di </w:t>
      </w:r>
      <w:r w:rsidR="00AF03B3" w:rsidRPr="00E70DDA">
        <w:rPr>
          <w:rFonts w:ascii="Times New Roman" w:hAnsi="Times New Roman" w:cs="Times New Roman"/>
          <w:b/>
          <w:i/>
        </w:rPr>
        <w:t>riferimento della efficacia dell’attuazione</w:t>
      </w:r>
      <w:r w:rsidR="00A53486" w:rsidRPr="00E70DDA">
        <w:rPr>
          <w:rFonts w:ascii="Times New Roman" w:hAnsi="Times New Roman" w:cs="Times New Roman"/>
        </w:rPr>
        <w:t xml:space="preserve">, </w:t>
      </w:r>
      <w:r w:rsidR="00A53486" w:rsidRPr="00E70DDA">
        <w:rPr>
          <w:rFonts w:ascii="Times New Roman" w:hAnsi="Times New Roman" w:cs="Times New Roman"/>
          <w:b/>
          <w:i/>
        </w:rPr>
        <w:t>per misurare i progressi intermedi nel conseguimento degli obiettivi del Programma</w:t>
      </w:r>
      <w:r w:rsidR="00931B36" w:rsidRPr="00E70DDA">
        <w:rPr>
          <w:rFonts w:ascii="Times New Roman" w:hAnsi="Times New Roman" w:cs="Times New Roman"/>
        </w:rPr>
        <w:t xml:space="preserve"> </w:t>
      </w:r>
      <w:r w:rsidR="00931B36" w:rsidRPr="00E70DDA">
        <w:rPr>
          <w:rFonts w:ascii="Times New Roman" w:hAnsi="Times New Roman" w:cs="Times New Roman"/>
          <w:i/>
        </w:rPr>
        <w:t>(artt. 21 e 22 del Reg UE 1303/2013)</w:t>
      </w:r>
      <w:r w:rsidR="00A53486" w:rsidRPr="00E70DDA">
        <w:rPr>
          <w:rFonts w:ascii="Times New Roman" w:hAnsi="Times New Roman" w:cs="Times New Roman"/>
        </w:rPr>
        <w:t>, che non trova alcuna corrispondenza nella attuale Programmazione 2007</w:t>
      </w:r>
      <w:r w:rsidR="00AD2BD7" w:rsidRPr="00E70DDA">
        <w:rPr>
          <w:rFonts w:ascii="Times New Roman" w:hAnsi="Times New Roman" w:cs="Times New Roman"/>
        </w:rPr>
        <w:t>-2013.</w:t>
      </w:r>
    </w:p>
    <w:p w:rsidR="00C363CF" w:rsidRDefault="00C363CF" w:rsidP="00EC6F44">
      <w:pPr>
        <w:autoSpaceDE w:val="0"/>
        <w:autoSpaceDN w:val="0"/>
        <w:adjustRightInd w:val="0"/>
        <w:spacing w:after="0" w:line="240" w:lineRule="auto"/>
        <w:jc w:val="both"/>
        <w:rPr>
          <w:rFonts w:ascii="Times New Roman" w:hAnsi="Times New Roman" w:cs="Times New Roman"/>
        </w:rPr>
      </w:pPr>
    </w:p>
    <w:p w:rsidR="00C363CF" w:rsidRDefault="00C363CF" w:rsidP="00EC6F44">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Nella nuova programmazione emerge</w:t>
      </w:r>
      <w:r w:rsidR="00257C5C">
        <w:rPr>
          <w:rFonts w:ascii="Times New Roman" w:hAnsi="Times New Roman" w:cs="Times New Roman"/>
        </w:rPr>
        <w:t xml:space="preserve">, dunque, </w:t>
      </w:r>
      <w:r>
        <w:rPr>
          <w:rFonts w:ascii="Times New Roman" w:hAnsi="Times New Roman" w:cs="Times New Roman"/>
        </w:rPr>
        <w:t xml:space="preserve">la novità della verifica di efficacia dell’attuazione e dell’applicazione di un relativo </w:t>
      </w:r>
      <w:r w:rsidR="00257C5C">
        <w:rPr>
          <w:rFonts w:ascii="Times New Roman" w:hAnsi="Times New Roman" w:cs="Times New Roman"/>
        </w:rPr>
        <w:t>quadro di riferimento per misurare target intermedi e target finali.</w:t>
      </w:r>
      <w:r w:rsidR="00257C5C">
        <w:rPr>
          <w:rStyle w:val="Rimandonotaapidipagina"/>
          <w:rFonts w:ascii="Times New Roman" w:hAnsi="Times New Roman" w:cs="Times New Roman"/>
        </w:rPr>
        <w:footnoteReference w:id="2"/>
      </w:r>
    </w:p>
    <w:p w:rsidR="00C363CF" w:rsidRDefault="00C363CF" w:rsidP="00EC6F44">
      <w:pPr>
        <w:autoSpaceDE w:val="0"/>
        <w:autoSpaceDN w:val="0"/>
        <w:adjustRightInd w:val="0"/>
        <w:spacing w:after="0" w:line="240" w:lineRule="auto"/>
        <w:jc w:val="both"/>
        <w:rPr>
          <w:rFonts w:ascii="Times New Roman" w:hAnsi="Times New Roman" w:cs="Times New Roman"/>
        </w:rPr>
      </w:pPr>
    </w:p>
    <w:p w:rsidR="00C363CF" w:rsidRPr="00E70DDA" w:rsidRDefault="00C557C4" w:rsidP="00C363CF">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La</w:t>
      </w:r>
      <w:r w:rsidR="00C363CF" w:rsidRPr="00E70DDA">
        <w:rPr>
          <w:rFonts w:ascii="Times New Roman" w:hAnsi="Times New Roman" w:cs="Times New Roman"/>
          <w:color w:val="auto"/>
          <w:sz w:val="22"/>
          <w:szCs w:val="22"/>
        </w:rPr>
        <w:t xml:space="preserve"> verifica di efficacia dell’attuazione esamina appunto il conseguimento dei target intermedi dei programmi a livello delle priorità, sulla base delle informazioni e delle valutazioni fornite nella Relazione Annuale sullo </w:t>
      </w:r>
      <w:r w:rsidR="00C363CF" w:rsidRPr="00E70DDA">
        <w:rPr>
          <w:rFonts w:ascii="Times New Roman" w:hAnsi="Times New Roman" w:cs="Times New Roman"/>
          <w:color w:val="auto"/>
          <w:sz w:val="22"/>
          <w:szCs w:val="22"/>
        </w:rPr>
        <w:lastRenderedPageBreak/>
        <w:t>stato di Attuazione presentata dallo Stato membro nel 2019</w:t>
      </w:r>
      <w:r w:rsidR="0096320C">
        <w:rPr>
          <w:rFonts w:ascii="Times New Roman" w:hAnsi="Times New Roman" w:cs="Times New Roman"/>
          <w:color w:val="auto"/>
          <w:sz w:val="22"/>
          <w:szCs w:val="22"/>
        </w:rPr>
        <w:t xml:space="preserve"> e il RD</w:t>
      </w:r>
      <w:r w:rsidR="00DD29D5">
        <w:rPr>
          <w:rFonts w:ascii="Times New Roman" w:hAnsi="Times New Roman" w:cs="Times New Roman"/>
          <w:color w:val="auto"/>
          <w:sz w:val="22"/>
          <w:szCs w:val="22"/>
        </w:rPr>
        <w:t>C</w:t>
      </w:r>
      <w:r w:rsidR="0096320C">
        <w:rPr>
          <w:rFonts w:ascii="Times New Roman" w:hAnsi="Times New Roman" w:cs="Times New Roman"/>
          <w:color w:val="auto"/>
          <w:sz w:val="22"/>
          <w:szCs w:val="22"/>
        </w:rPr>
        <w:t xml:space="preserve"> stabilisce </w:t>
      </w:r>
      <w:r>
        <w:rPr>
          <w:rFonts w:ascii="Times New Roman" w:hAnsi="Times New Roman" w:cs="Times New Roman"/>
          <w:color w:val="auto"/>
          <w:sz w:val="22"/>
          <w:szCs w:val="22"/>
        </w:rPr>
        <w:t xml:space="preserve">anche </w:t>
      </w:r>
      <w:r w:rsidR="0096320C">
        <w:rPr>
          <w:rFonts w:ascii="Times New Roman" w:hAnsi="Times New Roman" w:cs="Times New Roman"/>
          <w:color w:val="auto"/>
          <w:sz w:val="22"/>
          <w:szCs w:val="22"/>
        </w:rPr>
        <w:t>le relative modalità e tempistiche.</w:t>
      </w:r>
    </w:p>
    <w:p w:rsidR="00C363CF" w:rsidRPr="00E70DDA" w:rsidRDefault="00C363CF" w:rsidP="00C363CF">
      <w:pPr>
        <w:pStyle w:val="Default"/>
        <w:jc w:val="both"/>
        <w:rPr>
          <w:rFonts w:ascii="Times New Roman" w:hAnsi="Times New Roman" w:cs="Times New Roman"/>
          <w:color w:val="auto"/>
          <w:sz w:val="22"/>
          <w:szCs w:val="22"/>
        </w:rPr>
      </w:pPr>
    </w:p>
    <w:p w:rsidR="00B9213B" w:rsidRDefault="005379BF" w:rsidP="00C363CF">
      <w:pPr>
        <w:pStyle w:val="Default"/>
        <w:jc w:val="both"/>
        <w:rPr>
          <w:rFonts w:ascii="Times New Roman" w:hAnsi="Times New Roman" w:cs="Times New Roman"/>
          <w:color w:val="auto"/>
          <w:sz w:val="22"/>
          <w:szCs w:val="22"/>
        </w:rPr>
      </w:pPr>
      <w:r w:rsidRPr="005379BF">
        <w:rPr>
          <w:rFonts w:ascii="Times New Roman" w:hAnsi="Times New Roman" w:cs="Times New Roman"/>
          <w:b/>
          <w:color w:val="auto"/>
          <w:sz w:val="22"/>
          <w:szCs w:val="22"/>
        </w:rPr>
        <w:t>La Commissione adotta una decisione</w:t>
      </w:r>
      <w:r w:rsidRPr="00E70DDA">
        <w:rPr>
          <w:rFonts w:ascii="Times New Roman" w:hAnsi="Times New Roman" w:cs="Times New Roman"/>
          <w:color w:val="auto"/>
          <w:sz w:val="22"/>
          <w:szCs w:val="22"/>
        </w:rPr>
        <w:t>, mediante atti di esecuzione</w:t>
      </w:r>
      <w:r w:rsidRPr="005379BF">
        <w:rPr>
          <w:rFonts w:ascii="Times New Roman" w:hAnsi="Times New Roman" w:cs="Times New Roman"/>
          <w:color w:val="auto"/>
          <w:sz w:val="22"/>
          <w:szCs w:val="22"/>
        </w:rPr>
        <w:t xml:space="preserve"> </w:t>
      </w:r>
      <w:r>
        <w:rPr>
          <w:rFonts w:ascii="Times New Roman" w:hAnsi="Times New Roman" w:cs="Times New Roman"/>
          <w:color w:val="auto"/>
          <w:sz w:val="22"/>
          <w:szCs w:val="22"/>
          <w:u w:val="single"/>
        </w:rPr>
        <w:t>e</w:t>
      </w:r>
      <w:r w:rsidR="00C363CF" w:rsidRPr="006F07B5">
        <w:rPr>
          <w:rFonts w:ascii="Times New Roman" w:hAnsi="Times New Roman" w:cs="Times New Roman"/>
          <w:color w:val="auto"/>
          <w:sz w:val="22"/>
          <w:szCs w:val="22"/>
          <w:u w:val="single"/>
        </w:rPr>
        <w:t>ntro due mesi</w:t>
      </w:r>
      <w:r w:rsidR="00C363CF" w:rsidRPr="00E70DDA">
        <w:rPr>
          <w:rFonts w:ascii="Times New Roman" w:hAnsi="Times New Roman" w:cs="Times New Roman"/>
          <w:color w:val="auto"/>
          <w:sz w:val="22"/>
          <w:szCs w:val="22"/>
        </w:rPr>
        <w:t xml:space="preserve"> dal ricevimento della </w:t>
      </w:r>
      <w:r w:rsidR="00C363CF" w:rsidRPr="005379BF">
        <w:rPr>
          <w:rFonts w:ascii="Times New Roman" w:hAnsi="Times New Roman" w:cs="Times New Roman"/>
          <w:color w:val="auto"/>
          <w:sz w:val="22"/>
          <w:szCs w:val="22"/>
        </w:rPr>
        <w:t>Relazione Annuale di Attuazione 2018</w:t>
      </w:r>
      <w:r w:rsidR="00C557C4">
        <w:rPr>
          <w:rStyle w:val="Rimandonotaapidipagina"/>
          <w:rFonts w:ascii="Times New Roman" w:hAnsi="Times New Roman" w:cs="Times New Roman"/>
          <w:b/>
          <w:color w:val="auto"/>
          <w:sz w:val="22"/>
          <w:szCs w:val="22"/>
        </w:rPr>
        <w:footnoteReference w:id="3"/>
      </w:r>
      <w:r w:rsidR="00C363CF" w:rsidRPr="00E70DDA">
        <w:rPr>
          <w:rFonts w:ascii="Times New Roman" w:hAnsi="Times New Roman" w:cs="Times New Roman"/>
          <w:color w:val="auto"/>
          <w:sz w:val="22"/>
          <w:szCs w:val="22"/>
        </w:rPr>
        <w:t xml:space="preserve">, sulla base, appunto, </w:t>
      </w:r>
      <w:r>
        <w:rPr>
          <w:rFonts w:ascii="Times New Roman" w:hAnsi="Times New Roman" w:cs="Times New Roman"/>
          <w:color w:val="auto"/>
          <w:sz w:val="22"/>
          <w:szCs w:val="22"/>
        </w:rPr>
        <w:t>della verifica dell’attuazione,</w:t>
      </w:r>
      <w:r w:rsidR="00C363CF" w:rsidRPr="00E70DDA">
        <w:rPr>
          <w:rFonts w:ascii="Times New Roman" w:hAnsi="Times New Roman" w:cs="Times New Roman"/>
          <w:color w:val="auto"/>
          <w:sz w:val="22"/>
          <w:szCs w:val="22"/>
        </w:rPr>
        <w:t xml:space="preserve"> stabilendo per ciascun fondo SIE e ciascun Stato membro, i PO e le priorità per i quali sono stati conseguiti i target intermedi, al raggiungimento dei quali, è subordinata, appunto, </w:t>
      </w:r>
      <w:r w:rsidR="00C363CF" w:rsidRPr="001915AA">
        <w:rPr>
          <w:rFonts w:ascii="Times New Roman" w:hAnsi="Times New Roman" w:cs="Times New Roman"/>
          <w:b/>
          <w:color w:val="auto"/>
          <w:sz w:val="22"/>
          <w:szCs w:val="22"/>
        </w:rPr>
        <w:t>l’erogazione della riserva di performance nel 2019</w:t>
      </w:r>
      <w:r w:rsidR="00C363CF" w:rsidRPr="00E70DDA">
        <w:rPr>
          <w:rFonts w:ascii="Times New Roman" w:hAnsi="Times New Roman" w:cs="Times New Roman"/>
          <w:color w:val="auto"/>
          <w:sz w:val="22"/>
          <w:szCs w:val="22"/>
        </w:rPr>
        <w:t xml:space="preserve">. </w:t>
      </w:r>
    </w:p>
    <w:p w:rsidR="00B9213B" w:rsidRDefault="00B9213B" w:rsidP="00C363CF">
      <w:pPr>
        <w:pStyle w:val="Default"/>
        <w:jc w:val="both"/>
        <w:rPr>
          <w:rFonts w:ascii="Times New Roman" w:hAnsi="Times New Roman" w:cs="Times New Roman"/>
          <w:color w:val="auto"/>
          <w:sz w:val="22"/>
          <w:szCs w:val="22"/>
        </w:rPr>
      </w:pPr>
    </w:p>
    <w:p w:rsidR="001915AA" w:rsidRPr="005379BF" w:rsidRDefault="000D39B9" w:rsidP="000E17AA">
      <w:pPr>
        <w:pStyle w:val="Default"/>
        <w:jc w:val="both"/>
        <w:rPr>
          <w:rFonts w:ascii="Times New Roman" w:hAnsi="Times New Roman" w:cs="Times New Roman"/>
          <w:b/>
        </w:rPr>
      </w:pPr>
      <w:r>
        <w:rPr>
          <w:rFonts w:ascii="Times New Roman" w:hAnsi="Times New Roman" w:cs="Times New Roman"/>
          <w:b/>
          <w:color w:val="auto"/>
          <w:sz w:val="22"/>
          <w:szCs w:val="22"/>
        </w:rPr>
        <w:t>L</w:t>
      </w:r>
      <w:r w:rsidR="005379BF" w:rsidRPr="00C50DF4">
        <w:rPr>
          <w:rFonts w:ascii="Times New Roman" w:hAnsi="Times New Roman" w:cs="Times New Roman"/>
          <w:b/>
          <w:color w:val="auto"/>
          <w:sz w:val="22"/>
          <w:szCs w:val="22"/>
        </w:rPr>
        <w:t>o Stato membro propone una riassegnazione</w:t>
      </w:r>
      <w:r w:rsidR="005379BF" w:rsidRPr="00E70DDA">
        <w:rPr>
          <w:rFonts w:ascii="Times New Roman" w:hAnsi="Times New Roman" w:cs="Times New Roman"/>
          <w:color w:val="auto"/>
          <w:sz w:val="22"/>
          <w:szCs w:val="22"/>
        </w:rPr>
        <w:t xml:space="preserve"> </w:t>
      </w:r>
      <w:r w:rsidR="005379BF" w:rsidRPr="00A442DA">
        <w:rPr>
          <w:rFonts w:ascii="Times New Roman" w:hAnsi="Times New Roman" w:cs="Times New Roman"/>
          <w:color w:val="auto"/>
          <w:sz w:val="22"/>
          <w:szCs w:val="22"/>
          <w:u w:val="single"/>
        </w:rPr>
        <w:t>e</w:t>
      </w:r>
      <w:r w:rsidR="006F07B5" w:rsidRPr="00A442DA">
        <w:rPr>
          <w:rFonts w:ascii="Times New Roman" w:hAnsi="Times New Roman" w:cs="Times New Roman"/>
          <w:color w:val="auto"/>
          <w:sz w:val="22"/>
          <w:szCs w:val="22"/>
          <w:u w:val="single"/>
        </w:rPr>
        <w:t>n</w:t>
      </w:r>
      <w:r w:rsidR="006F07B5" w:rsidRPr="00C50DF4">
        <w:rPr>
          <w:rFonts w:ascii="Times New Roman" w:hAnsi="Times New Roman" w:cs="Times New Roman"/>
          <w:color w:val="auto"/>
          <w:sz w:val="22"/>
          <w:szCs w:val="22"/>
          <w:u w:val="single"/>
        </w:rPr>
        <w:t>tro tre mesi</w:t>
      </w:r>
      <w:r w:rsidR="006F07B5" w:rsidRPr="006F07B5">
        <w:rPr>
          <w:rFonts w:ascii="Times New Roman" w:hAnsi="Times New Roman" w:cs="Times New Roman"/>
          <w:color w:val="auto"/>
          <w:sz w:val="22"/>
          <w:szCs w:val="22"/>
        </w:rPr>
        <w:t xml:space="preserve"> dalla decisione della Commissione</w:t>
      </w:r>
      <w:r w:rsidR="001915AA">
        <w:rPr>
          <w:rFonts w:ascii="Times New Roman" w:hAnsi="Times New Roman" w:cs="Times New Roman"/>
          <w:color w:val="auto"/>
          <w:sz w:val="22"/>
          <w:szCs w:val="22"/>
        </w:rPr>
        <w:t xml:space="preserve">, </w:t>
      </w:r>
      <w:r w:rsidR="006F07B5" w:rsidRPr="001915AA">
        <w:rPr>
          <w:rFonts w:ascii="Times New Roman" w:hAnsi="Times New Roman" w:cs="Times New Roman"/>
          <w:b/>
          <w:color w:val="auto"/>
          <w:sz w:val="22"/>
          <w:szCs w:val="22"/>
        </w:rPr>
        <w:t>qualora</w:t>
      </w:r>
      <w:r w:rsidR="00C363CF" w:rsidRPr="001915AA">
        <w:rPr>
          <w:rFonts w:ascii="Times New Roman" w:hAnsi="Times New Roman" w:cs="Times New Roman"/>
          <w:b/>
          <w:color w:val="auto"/>
          <w:sz w:val="22"/>
          <w:szCs w:val="22"/>
        </w:rPr>
        <w:t xml:space="preserve"> le priorità non dovessero conseguire i </w:t>
      </w:r>
      <w:r w:rsidR="00C363CF" w:rsidRPr="000E17AA">
        <w:rPr>
          <w:rFonts w:ascii="Times New Roman" w:hAnsi="Times New Roman" w:cs="Times New Roman"/>
          <w:b/>
          <w:color w:val="auto"/>
          <w:sz w:val="22"/>
          <w:szCs w:val="22"/>
        </w:rPr>
        <w:t>propri target intermedi,</w:t>
      </w:r>
      <w:r w:rsidR="00C363CF" w:rsidRPr="000E17AA">
        <w:rPr>
          <w:rFonts w:ascii="Times New Roman" w:hAnsi="Times New Roman" w:cs="Times New Roman"/>
          <w:color w:val="auto"/>
          <w:sz w:val="22"/>
          <w:szCs w:val="22"/>
        </w:rPr>
        <w:t xml:space="preserve"> degli importi corrispondenti della riserva di efficacia dell’attuazione a priorità definite dalla decisione della Commissione, nonché le relative modifiche al programma risultanti da tale riassegnazione</w:t>
      </w:r>
      <w:r w:rsidR="00C50DF4" w:rsidRPr="000E17AA">
        <w:rPr>
          <w:rFonts w:ascii="Times New Roman" w:hAnsi="Times New Roman" w:cs="Times New Roman"/>
          <w:color w:val="auto"/>
          <w:sz w:val="22"/>
          <w:szCs w:val="22"/>
        </w:rPr>
        <w:t>.</w:t>
      </w:r>
      <w:r w:rsidR="00C363CF" w:rsidRPr="000E17AA">
        <w:rPr>
          <w:rFonts w:ascii="Times New Roman" w:hAnsi="Times New Roman" w:cs="Times New Roman"/>
          <w:color w:val="auto"/>
          <w:sz w:val="22"/>
          <w:szCs w:val="22"/>
        </w:rPr>
        <w:t xml:space="preserve"> </w:t>
      </w:r>
      <w:r w:rsidR="00C363CF" w:rsidRPr="000E17AA">
        <w:rPr>
          <w:rFonts w:ascii="Times New Roman" w:hAnsi="Times New Roman" w:cs="Times New Roman"/>
          <w:sz w:val="22"/>
          <w:szCs w:val="22"/>
        </w:rPr>
        <w:t>La proposta dello Stato membro di riassegnare la riserva di efficacia dell'attuazione deve essere conforme ai requisiti di concentrazione tematica e alle assegnazioni minime stabiliti dai dettati regolamentari</w:t>
      </w:r>
      <w:r w:rsidR="008B4869" w:rsidRPr="000E17AA">
        <w:rPr>
          <w:rStyle w:val="Rimandonotaapidipagina"/>
          <w:rFonts w:ascii="Times New Roman" w:hAnsi="Times New Roman" w:cs="Times New Roman"/>
          <w:sz w:val="22"/>
          <w:szCs w:val="22"/>
        </w:rPr>
        <w:footnoteReference w:id="4"/>
      </w:r>
      <w:r w:rsidR="00C363CF" w:rsidRPr="000E17AA">
        <w:rPr>
          <w:rFonts w:ascii="Times New Roman" w:hAnsi="Times New Roman" w:cs="Times New Roman"/>
          <w:sz w:val="22"/>
          <w:szCs w:val="22"/>
        </w:rPr>
        <w:t xml:space="preserve">. </w:t>
      </w:r>
      <w:r w:rsidR="001915AA" w:rsidRPr="000E17AA">
        <w:rPr>
          <w:rFonts w:ascii="Times New Roman" w:hAnsi="Times New Roman" w:cs="Times New Roman"/>
          <w:b/>
          <w:sz w:val="22"/>
          <w:szCs w:val="22"/>
        </w:rPr>
        <w:t>La Commissione approva</w:t>
      </w:r>
      <w:r w:rsidR="001915AA" w:rsidRPr="000E17AA">
        <w:rPr>
          <w:rFonts w:ascii="Times New Roman" w:hAnsi="Times New Roman" w:cs="Times New Roman"/>
          <w:sz w:val="22"/>
          <w:szCs w:val="22"/>
        </w:rPr>
        <w:t xml:space="preserve">, </w:t>
      </w:r>
      <w:r w:rsidR="001915AA" w:rsidRPr="000E17AA">
        <w:rPr>
          <w:rFonts w:ascii="Times New Roman" w:hAnsi="Times New Roman" w:cs="Times New Roman"/>
          <w:sz w:val="22"/>
          <w:szCs w:val="22"/>
          <w:u w:val="single"/>
        </w:rPr>
        <w:t>entro due mesi</w:t>
      </w:r>
      <w:r w:rsidR="001915AA" w:rsidRPr="000E17AA">
        <w:rPr>
          <w:rFonts w:ascii="Times New Roman" w:hAnsi="Times New Roman" w:cs="Times New Roman"/>
          <w:sz w:val="22"/>
          <w:szCs w:val="22"/>
        </w:rPr>
        <w:t>, dalla data di presentazione della richiesta di modifica dello Stato membro, le necessarie e conseguenti modifiche dei programmi in questione</w:t>
      </w:r>
      <w:r w:rsidR="001915AA">
        <w:rPr>
          <w:rFonts w:ascii="Times New Roman" w:hAnsi="Times New Roman" w:cs="Times New Roman"/>
          <w:b/>
        </w:rPr>
        <w:t>.</w:t>
      </w:r>
    </w:p>
    <w:p w:rsidR="008B4869" w:rsidRDefault="008B4869" w:rsidP="008B4869">
      <w:pPr>
        <w:pStyle w:val="Default"/>
        <w:jc w:val="both"/>
        <w:rPr>
          <w:rFonts w:ascii="Times New Roman" w:hAnsi="Times New Roman" w:cs="Times New Roman"/>
          <w:sz w:val="22"/>
          <w:szCs w:val="22"/>
        </w:rPr>
      </w:pPr>
    </w:p>
    <w:p w:rsidR="00093E83" w:rsidRDefault="006C3A98" w:rsidP="00C363CF">
      <w:pPr>
        <w:autoSpaceDE w:val="0"/>
        <w:autoSpaceDN w:val="0"/>
        <w:adjustRightInd w:val="0"/>
        <w:spacing w:before="60" w:after="60" w:line="240" w:lineRule="auto"/>
        <w:jc w:val="both"/>
        <w:rPr>
          <w:rFonts w:ascii="Times New Roman" w:hAnsi="Times New Roman" w:cs="Times New Roman"/>
        </w:rPr>
      </w:pPr>
      <w:r w:rsidRPr="00FB3431">
        <w:rPr>
          <w:rFonts w:ascii="Times New Roman" w:hAnsi="Times New Roman" w:cs="Times New Roman"/>
          <w:b/>
        </w:rPr>
        <w:t>La Commissione</w:t>
      </w:r>
      <w:r>
        <w:rPr>
          <w:rFonts w:ascii="Times New Roman" w:hAnsi="Times New Roman" w:cs="Times New Roman"/>
        </w:rPr>
        <w:t>, n</w:t>
      </w:r>
      <w:r w:rsidR="0059452C" w:rsidRPr="00E70DDA">
        <w:rPr>
          <w:rFonts w:ascii="Times New Roman" w:hAnsi="Times New Roman" w:cs="Times New Roman"/>
        </w:rPr>
        <w:t xml:space="preserve">el caso in cui la verifica dell’efficacia dell’attuazione abbia rilevato </w:t>
      </w:r>
      <w:r w:rsidR="0059452C" w:rsidRPr="006F07B5">
        <w:rPr>
          <w:rFonts w:ascii="Times New Roman" w:hAnsi="Times New Roman" w:cs="Times New Roman"/>
        </w:rPr>
        <w:t xml:space="preserve">una </w:t>
      </w:r>
      <w:r w:rsidR="0059452C" w:rsidRPr="00093E83">
        <w:rPr>
          <w:rFonts w:ascii="Times New Roman" w:hAnsi="Times New Roman" w:cs="Times New Roman"/>
          <w:b/>
        </w:rPr>
        <w:t xml:space="preserve">grave </w:t>
      </w:r>
      <w:r w:rsidR="0059452C">
        <w:rPr>
          <w:rFonts w:ascii="Times New Roman" w:hAnsi="Times New Roman" w:cs="Times New Roman"/>
          <w:b/>
        </w:rPr>
        <w:t xml:space="preserve">carenza nel conseguire i target, </w:t>
      </w:r>
      <w:r w:rsidR="000D39B9" w:rsidRPr="000D39B9">
        <w:rPr>
          <w:rFonts w:ascii="Times New Roman" w:hAnsi="Times New Roman" w:cs="Times New Roman"/>
          <w:b/>
        </w:rPr>
        <w:t>può</w:t>
      </w:r>
      <w:r w:rsidR="0059452C">
        <w:rPr>
          <w:rFonts w:ascii="Times New Roman" w:hAnsi="Times New Roman" w:cs="Times New Roman"/>
        </w:rPr>
        <w:t xml:space="preserve"> </w:t>
      </w:r>
      <w:r w:rsidR="000D39B9" w:rsidRPr="000D39B9">
        <w:rPr>
          <w:rFonts w:ascii="Times New Roman" w:hAnsi="Times New Roman" w:cs="Times New Roman"/>
          <w:b/>
        </w:rPr>
        <w:t xml:space="preserve">sospendere del tutto o in parte un pagamento intermedio </w:t>
      </w:r>
      <w:r w:rsidR="00443B33">
        <w:rPr>
          <w:rFonts w:ascii="Times New Roman" w:hAnsi="Times New Roman" w:cs="Times New Roman"/>
        </w:rPr>
        <w:t>(nel caso di</w:t>
      </w:r>
      <w:r w:rsidR="0059452C" w:rsidRPr="006C3A98">
        <w:rPr>
          <w:rFonts w:ascii="Times New Roman" w:hAnsi="Times New Roman" w:cs="Times New Roman"/>
        </w:rPr>
        <w:t xml:space="preserve"> gravi carenze nel raggiungimento dei target intermedi)</w:t>
      </w:r>
      <w:r w:rsidR="00EF4FDD" w:rsidRPr="00EF4FDD">
        <w:rPr>
          <w:rStyle w:val="Rimandonotaapidipagina"/>
          <w:rFonts w:ascii="Times New Roman" w:hAnsi="Times New Roman" w:cs="Times New Roman"/>
        </w:rPr>
        <w:t xml:space="preserve"> </w:t>
      </w:r>
      <w:r w:rsidR="00EF4FDD" w:rsidRPr="006F07B5">
        <w:rPr>
          <w:rStyle w:val="Rimandonotaapidipagina"/>
          <w:rFonts w:ascii="Times New Roman" w:hAnsi="Times New Roman" w:cs="Times New Roman"/>
        </w:rPr>
        <w:footnoteReference w:id="5"/>
      </w:r>
      <w:r w:rsidR="0059452C" w:rsidRPr="006C3A98">
        <w:rPr>
          <w:rFonts w:ascii="Times New Roman" w:hAnsi="Times New Roman" w:cs="Times New Roman"/>
        </w:rPr>
        <w:t xml:space="preserve"> </w:t>
      </w:r>
      <w:r w:rsidR="0059452C">
        <w:rPr>
          <w:rFonts w:ascii="Times New Roman" w:hAnsi="Times New Roman" w:cs="Times New Roman"/>
          <w:b/>
        </w:rPr>
        <w:t xml:space="preserve">o </w:t>
      </w:r>
      <w:r>
        <w:rPr>
          <w:rFonts w:ascii="Times New Roman" w:hAnsi="Times New Roman" w:cs="Times New Roman"/>
          <w:b/>
        </w:rPr>
        <w:t xml:space="preserve">applicare rettifiche finanziarie </w:t>
      </w:r>
      <w:r w:rsidRPr="006C3A98">
        <w:rPr>
          <w:rFonts w:ascii="Times New Roman" w:hAnsi="Times New Roman" w:cs="Times New Roman"/>
        </w:rPr>
        <w:t>(nel caso del mancato ra</w:t>
      </w:r>
      <w:r>
        <w:rPr>
          <w:rFonts w:ascii="Times New Roman" w:hAnsi="Times New Roman" w:cs="Times New Roman"/>
        </w:rPr>
        <w:t>ggiungimento dei target finali)</w:t>
      </w:r>
      <w:r w:rsidRPr="006C3A98">
        <w:rPr>
          <w:rFonts w:ascii="Times New Roman" w:hAnsi="Times New Roman" w:cs="Times New Roman"/>
        </w:rPr>
        <w:t xml:space="preserve"> </w:t>
      </w:r>
      <w:r>
        <w:rPr>
          <w:rFonts w:ascii="Times New Roman" w:hAnsi="Times New Roman" w:cs="Times New Roman"/>
        </w:rPr>
        <w:t>relativamente alle priorità interessate</w:t>
      </w:r>
      <w:r w:rsidRPr="006C3A98">
        <w:rPr>
          <w:rFonts w:ascii="Times New Roman" w:hAnsi="Times New Roman" w:cs="Times New Roman"/>
        </w:rPr>
        <w:t xml:space="preserve"> di un programma</w:t>
      </w:r>
      <w:r>
        <w:rPr>
          <w:rFonts w:ascii="Times New Roman" w:hAnsi="Times New Roman" w:cs="Times New Roman"/>
        </w:rPr>
        <w:t>.</w:t>
      </w:r>
    </w:p>
    <w:p w:rsidR="000D39B9" w:rsidRDefault="000D39B9" w:rsidP="00C363CF">
      <w:pPr>
        <w:autoSpaceDE w:val="0"/>
        <w:autoSpaceDN w:val="0"/>
        <w:adjustRightInd w:val="0"/>
        <w:spacing w:before="60" w:after="60" w:line="240" w:lineRule="auto"/>
        <w:jc w:val="both"/>
        <w:rPr>
          <w:rFonts w:ascii="Times New Roman" w:hAnsi="Times New Roman" w:cs="Times New Roman"/>
        </w:rPr>
      </w:pPr>
      <w:bookmarkStart w:id="0" w:name="_GoBack"/>
      <w:bookmarkEnd w:id="0"/>
    </w:p>
    <w:sectPr w:rsidR="000D39B9" w:rsidSect="0095786A">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6E9B" w:rsidRDefault="00296E9B" w:rsidP="000B3947">
      <w:pPr>
        <w:spacing w:after="0" w:line="240" w:lineRule="auto"/>
      </w:pPr>
      <w:r>
        <w:separator/>
      </w:r>
    </w:p>
  </w:endnote>
  <w:endnote w:type="continuationSeparator" w:id="0">
    <w:p w:rsidR="00296E9B" w:rsidRDefault="00296E9B" w:rsidP="000B3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EUAlbertina">
    <w:altName w:val="EU Albertin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5437556"/>
      <w:docPartObj>
        <w:docPartGallery w:val="Page Numbers (Bottom of Page)"/>
        <w:docPartUnique/>
      </w:docPartObj>
    </w:sdtPr>
    <w:sdtEndPr/>
    <w:sdtContent>
      <w:p w:rsidR="000B3947" w:rsidRDefault="000B3947">
        <w:pPr>
          <w:pStyle w:val="Pidipagina"/>
          <w:jc w:val="right"/>
        </w:pPr>
        <w:r>
          <w:fldChar w:fldCharType="begin"/>
        </w:r>
        <w:r>
          <w:instrText>PAGE   \* MERGEFORMAT</w:instrText>
        </w:r>
        <w:r>
          <w:fldChar w:fldCharType="separate"/>
        </w:r>
        <w:r w:rsidR="002D3000">
          <w:rPr>
            <w:noProof/>
          </w:rPr>
          <w:t>5</w:t>
        </w:r>
        <w:r>
          <w:fldChar w:fldCharType="end"/>
        </w:r>
      </w:p>
    </w:sdtContent>
  </w:sdt>
  <w:p w:rsidR="002D3000" w:rsidRDefault="002D3000" w:rsidP="002D3000">
    <w:pPr>
      <w:pStyle w:val="Pidipagina"/>
      <w:jc w:val="center"/>
      <w:rPr>
        <w:rFonts w:ascii="Times New Roman" w:hAnsi="Times New Roman" w:cs="Times New Roman"/>
        <w:color w:val="767171" w:themeColor="background2" w:themeShade="80"/>
        <w:sz w:val="20"/>
        <w:szCs w:val="20"/>
      </w:rPr>
    </w:pPr>
    <w:r>
      <w:rPr>
        <w:rFonts w:ascii="Times New Roman" w:hAnsi="Times New Roman" w:cs="Times New Roman"/>
        <w:sz w:val="20"/>
      </w:rPr>
      <w:t xml:space="preserve">Tecnostruttura delle Regioni – </w:t>
    </w:r>
    <w:proofErr w:type="spellStart"/>
    <w:r>
      <w:rPr>
        <w:rFonts w:ascii="Times New Roman" w:hAnsi="Times New Roman" w:cs="Times New Roman"/>
        <w:sz w:val="20"/>
      </w:rPr>
      <w:t>All</w:t>
    </w:r>
    <w:proofErr w:type="spellEnd"/>
    <w:r>
      <w:rPr>
        <w:rFonts w:ascii="Times New Roman" w:hAnsi="Times New Roman" w:cs="Times New Roman"/>
        <w:sz w:val="20"/>
      </w:rPr>
      <w:t xml:space="preserve">. </w:t>
    </w:r>
    <w:r>
      <w:rPr>
        <w:rFonts w:ascii="Times New Roman" w:hAnsi="Times New Roman" w:cs="Times New Roman"/>
        <w:sz w:val="20"/>
      </w:rPr>
      <w:t>3</w:t>
    </w:r>
    <w:r>
      <w:rPr>
        <w:rFonts w:ascii="Times New Roman" w:hAnsi="Times New Roman" w:cs="Times New Roman"/>
        <w:sz w:val="20"/>
      </w:rPr>
      <w:t xml:space="preserve"> al </w:t>
    </w:r>
    <w:proofErr w:type="spellStart"/>
    <w:r>
      <w:rPr>
        <w:rFonts w:ascii="Times New Roman" w:hAnsi="Times New Roman" w:cs="Times New Roman"/>
        <w:sz w:val="20"/>
      </w:rPr>
      <w:t>prot</w:t>
    </w:r>
    <w:proofErr w:type="spellEnd"/>
    <w:r>
      <w:rPr>
        <w:rFonts w:ascii="Times New Roman" w:hAnsi="Times New Roman" w:cs="Times New Roman"/>
        <w:sz w:val="20"/>
      </w:rPr>
      <w:t>. 292/FSE del 3 febbraio 2014</w:t>
    </w:r>
  </w:p>
  <w:p w:rsidR="000B3947" w:rsidRPr="000B3947" w:rsidRDefault="000B3947" w:rsidP="002D3000">
    <w:pPr>
      <w:pStyle w:val="Pidipagina"/>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6E9B" w:rsidRDefault="00296E9B" w:rsidP="000B3947">
      <w:pPr>
        <w:spacing w:after="0" w:line="240" w:lineRule="auto"/>
      </w:pPr>
      <w:r>
        <w:separator/>
      </w:r>
    </w:p>
  </w:footnote>
  <w:footnote w:type="continuationSeparator" w:id="0">
    <w:p w:rsidR="00296E9B" w:rsidRDefault="00296E9B" w:rsidP="000B3947">
      <w:pPr>
        <w:spacing w:after="0" w:line="240" w:lineRule="auto"/>
      </w:pPr>
      <w:r>
        <w:continuationSeparator/>
      </w:r>
    </w:p>
  </w:footnote>
  <w:footnote w:id="1">
    <w:p w:rsidR="00743299" w:rsidRPr="00743299" w:rsidRDefault="00743299" w:rsidP="002D3000">
      <w:pPr>
        <w:pStyle w:val="Testonotaapidipagina"/>
        <w:ind w:left="142" w:hanging="142"/>
        <w:rPr>
          <w:sz w:val="16"/>
          <w:szCs w:val="16"/>
        </w:rPr>
      </w:pPr>
      <w:r w:rsidRPr="00743299">
        <w:rPr>
          <w:rStyle w:val="Rimandonotaapidipagina"/>
          <w:sz w:val="16"/>
          <w:szCs w:val="16"/>
        </w:rPr>
        <w:footnoteRef/>
      </w:r>
      <w:r>
        <w:t xml:space="preserve"> </w:t>
      </w:r>
      <w:r w:rsidRPr="00743299">
        <w:rPr>
          <w:sz w:val="16"/>
          <w:szCs w:val="16"/>
        </w:rPr>
        <w:t>Cfr</w:t>
      </w:r>
      <w:r w:rsidRPr="00EF4FDD">
        <w:rPr>
          <w:i/>
          <w:sz w:val="16"/>
          <w:szCs w:val="16"/>
        </w:rPr>
        <w:t>. Tabella 18a “Piano finanziario del programma operativo (per asse prioritario)</w:t>
      </w:r>
      <w:r w:rsidR="00EF4FDD">
        <w:rPr>
          <w:i/>
          <w:sz w:val="16"/>
          <w:szCs w:val="16"/>
        </w:rPr>
        <w:t xml:space="preserve">” in </w:t>
      </w:r>
      <w:proofErr w:type="spellStart"/>
      <w:r w:rsidR="00EF4FDD">
        <w:rPr>
          <w:i/>
          <w:sz w:val="16"/>
          <w:szCs w:val="16"/>
        </w:rPr>
        <w:t>Draft</w:t>
      </w:r>
      <w:proofErr w:type="spellEnd"/>
      <w:r w:rsidR="00EF4FDD">
        <w:rPr>
          <w:i/>
          <w:sz w:val="16"/>
          <w:szCs w:val="16"/>
        </w:rPr>
        <w:t xml:space="preserve"> </w:t>
      </w:r>
      <w:proofErr w:type="spellStart"/>
      <w:r w:rsidR="00EF4FDD">
        <w:rPr>
          <w:i/>
          <w:sz w:val="16"/>
          <w:szCs w:val="16"/>
        </w:rPr>
        <w:t>Template</w:t>
      </w:r>
      <w:proofErr w:type="spellEnd"/>
      <w:r w:rsidR="00EF4FDD">
        <w:rPr>
          <w:i/>
          <w:sz w:val="16"/>
          <w:szCs w:val="16"/>
        </w:rPr>
        <w:t xml:space="preserve"> And </w:t>
      </w:r>
      <w:proofErr w:type="spellStart"/>
      <w:r w:rsidR="00EF4FDD">
        <w:rPr>
          <w:i/>
          <w:sz w:val="16"/>
          <w:szCs w:val="16"/>
        </w:rPr>
        <w:t>G</w:t>
      </w:r>
      <w:r w:rsidR="00EF4FDD" w:rsidRPr="00EF4FDD">
        <w:rPr>
          <w:i/>
          <w:sz w:val="16"/>
          <w:szCs w:val="16"/>
        </w:rPr>
        <w:t>u</w:t>
      </w:r>
      <w:r w:rsidR="00EF4FDD">
        <w:rPr>
          <w:i/>
          <w:sz w:val="16"/>
          <w:szCs w:val="16"/>
        </w:rPr>
        <w:t>i</w:t>
      </w:r>
      <w:r w:rsidR="00EF4FDD" w:rsidRPr="00EF4FDD">
        <w:rPr>
          <w:i/>
          <w:sz w:val="16"/>
          <w:szCs w:val="16"/>
        </w:rPr>
        <w:t>delines</w:t>
      </w:r>
      <w:proofErr w:type="spellEnd"/>
      <w:r w:rsidR="00EF4FDD" w:rsidRPr="00EF4FDD">
        <w:rPr>
          <w:i/>
          <w:sz w:val="16"/>
          <w:szCs w:val="16"/>
        </w:rPr>
        <w:t xml:space="preserve"> for the </w:t>
      </w:r>
      <w:proofErr w:type="spellStart"/>
      <w:r w:rsidR="00EF4FDD" w:rsidRPr="00EF4FDD">
        <w:rPr>
          <w:i/>
          <w:sz w:val="16"/>
          <w:szCs w:val="16"/>
        </w:rPr>
        <w:t>content</w:t>
      </w:r>
      <w:proofErr w:type="spellEnd"/>
      <w:r w:rsidR="00EF4FDD" w:rsidRPr="00EF4FDD">
        <w:rPr>
          <w:i/>
          <w:sz w:val="16"/>
          <w:szCs w:val="16"/>
        </w:rPr>
        <w:t xml:space="preserve"> OP</w:t>
      </w:r>
      <w:r w:rsidR="00EF4FDD">
        <w:rPr>
          <w:sz w:val="16"/>
          <w:szCs w:val="16"/>
        </w:rPr>
        <w:t xml:space="preserve"> (versione del 31 ottobre 2013).</w:t>
      </w:r>
    </w:p>
  </w:footnote>
  <w:footnote w:id="2">
    <w:p w:rsidR="00257C5C" w:rsidRPr="000445C6" w:rsidRDefault="00257C5C" w:rsidP="002D3000">
      <w:pPr>
        <w:pStyle w:val="Testonotaapidipagina"/>
        <w:ind w:left="142" w:hanging="142"/>
        <w:jc w:val="both"/>
        <w:rPr>
          <w:i/>
          <w:sz w:val="18"/>
          <w:szCs w:val="18"/>
        </w:rPr>
      </w:pPr>
      <w:r w:rsidRPr="000445C6">
        <w:rPr>
          <w:rStyle w:val="Rimandonotaapidipagina"/>
          <w:sz w:val="16"/>
          <w:szCs w:val="16"/>
        </w:rPr>
        <w:footnoteRef/>
      </w:r>
      <w:r w:rsidRPr="000445C6">
        <w:rPr>
          <w:sz w:val="16"/>
          <w:szCs w:val="16"/>
        </w:rPr>
        <w:t xml:space="preserve"> Si fa notare che molti elementi per la costruzione del quadro dei risultati erano già contenuti nella</w:t>
      </w:r>
      <w:r w:rsidRPr="000445C6">
        <w:rPr>
          <w:i/>
          <w:sz w:val="16"/>
          <w:szCs w:val="16"/>
        </w:rPr>
        <w:t xml:space="preserve"> fiche 24</w:t>
      </w:r>
      <w:r w:rsidR="00A442DA">
        <w:rPr>
          <w:i/>
          <w:sz w:val="16"/>
          <w:szCs w:val="16"/>
        </w:rPr>
        <w:t>a</w:t>
      </w:r>
      <w:r w:rsidR="000445C6" w:rsidRPr="000445C6">
        <w:rPr>
          <w:i/>
          <w:sz w:val="16"/>
          <w:szCs w:val="16"/>
        </w:rPr>
        <w:t xml:space="preserve">  </w:t>
      </w:r>
      <w:proofErr w:type="spellStart"/>
      <w:r w:rsidR="000445C6" w:rsidRPr="000445C6">
        <w:rPr>
          <w:i/>
          <w:sz w:val="16"/>
          <w:szCs w:val="16"/>
        </w:rPr>
        <w:t>Implementing</w:t>
      </w:r>
      <w:proofErr w:type="spellEnd"/>
      <w:r w:rsidR="000445C6" w:rsidRPr="000445C6">
        <w:rPr>
          <w:i/>
          <w:sz w:val="16"/>
          <w:szCs w:val="16"/>
        </w:rPr>
        <w:t xml:space="preserve"> </w:t>
      </w:r>
      <w:proofErr w:type="spellStart"/>
      <w:r w:rsidR="000445C6" w:rsidRPr="000445C6">
        <w:rPr>
          <w:i/>
          <w:sz w:val="16"/>
          <w:szCs w:val="16"/>
        </w:rPr>
        <w:t>act</w:t>
      </w:r>
      <w:proofErr w:type="spellEnd"/>
      <w:r w:rsidR="000445C6" w:rsidRPr="000445C6">
        <w:rPr>
          <w:i/>
          <w:sz w:val="16"/>
          <w:szCs w:val="16"/>
        </w:rPr>
        <w:t xml:space="preserve"> on the </w:t>
      </w:r>
      <w:proofErr w:type="spellStart"/>
      <w:r w:rsidR="000445C6" w:rsidRPr="000445C6">
        <w:rPr>
          <w:i/>
          <w:sz w:val="16"/>
          <w:szCs w:val="16"/>
        </w:rPr>
        <w:t>arrangements</w:t>
      </w:r>
      <w:proofErr w:type="spellEnd"/>
      <w:r w:rsidR="000445C6" w:rsidRPr="000445C6">
        <w:rPr>
          <w:i/>
          <w:sz w:val="16"/>
          <w:szCs w:val="16"/>
        </w:rPr>
        <w:t xml:space="preserve"> to </w:t>
      </w:r>
      <w:proofErr w:type="spellStart"/>
      <w:r w:rsidR="000445C6" w:rsidRPr="000445C6">
        <w:rPr>
          <w:i/>
          <w:sz w:val="16"/>
          <w:szCs w:val="16"/>
        </w:rPr>
        <w:t>ensure</w:t>
      </w:r>
      <w:proofErr w:type="spellEnd"/>
      <w:r w:rsidR="000445C6" w:rsidRPr="000445C6">
        <w:rPr>
          <w:i/>
          <w:sz w:val="16"/>
          <w:szCs w:val="16"/>
        </w:rPr>
        <w:t xml:space="preserve"> a </w:t>
      </w:r>
      <w:proofErr w:type="spellStart"/>
      <w:r w:rsidR="000445C6" w:rsidRPr="000445C6">
        <w:rPr>
          <w:i/>
          <w:sz w:val="16"/>
          <w:szCs w:val="16"/>
        </w:rPr>
        <w:t>consistent</w:t>
      </w:r>
      <w:proofErr w:type="spellEnd"/>
      <w:r w:rsidR="000445C6" w:rsidRPr="000445C6">
        <w:rPr>
          <w:i/>
          <w:sz w:val="16"/>
          <w:szCs w:val="16"/>
        </w:rPr>
        <w:t xml:space="preserve"> for </w:t>
      </w:r>
      <w:proofErr w:type="spellStart"/>
      <w:r w:rsidR="000445C6" w:rsidRPr="000445C6">
        <w:rPr>
          <w:i/>
          <w:sz w:val="16"/>
          <w:szCs w:val="16"/>
        </w:rPr>
        <w:t>determining</w:t>
      </w:r>
      <w:proofErr w:type="spellEnd"/>
      <w:r w:rsidR="000445C6" w:rsidRPr="000445C6">
        <w:rPr>
          <w:i/>
          <w:sz w:val="16"/>
          <w:szCs w:val="16"/>
        </w:rPr>
        <w:t xml:space="preserve"> </w:t>
      </w:r>
      <w:proofErr w:type="spellStart"/>
      <w:r w:rsidR="000445C6" w:rsidRPr="000445C6">
        <w:rPr>
          <w:i/>
          <w:sz w:val="16"/>
          <w:szCs w:val="16"/>
        </w:rPr>
        <w:t>milestones</w:t>
      </w:r>
      <w:proofErr w:type="spellEnd"/>
      <w:r w:rsidR="000445C6" w:rsidRPr="000445C6">
        <w:rPr>
          <w:i/>
          <w:sz w:val="16"/>
          <w:szCs w:val="16"/>
        </w:rPr>
        <w:t xml:space="preserve"> and targets in the performance </w:t>
      </w:r>
      <w:proofErr w:type="spellStart"/>
      <w:r w:rsidR="000445C6" w:rsidRPr="000445C6">
        <w:rPr>
          <w:i/>
          <w:sz w:val="16"/>
          <w:szCs w:val="16"/>
        </w:rPr>
        <w:t>framework</w:t>
      </w:r>
      <w:proofErr w:type="spellEnd"/>
      <w:r w:rsidR="000445C6" w:rsidRPr="000445C6">
        <w:rPr>
          <w:i/>
          <w:sz w:val="16"/>
          <w:szCs w:val="16"/>
        </w:rPr>
        <w:t xml:space="preserve"> for </w:t>
      </w:r>
      <w:proofErr w:type="spellStart"/>
      <w:r w:rsidR="000445C6" w:rsidRPr="000445C6">
        <w:rPr>
          <w:i/>
          <w:sz w:val="16"/>
          <w:szCs w:val="16"/>
        </w:rPr>
        <w:t>each</w:t>
      </w:r>
      <w:proofErr w:type="spellEnd"/>
      <w:r w:rsidR="000445C6" w:rsidRPr="000445C6">
        <w:rPr>
          <w:i/>
          <w:sz w:val="16"/>
          <w:szCs w:val="16"/>
        </w:rPr>
        <w:t xml:space="preserve"> </w:t>
      </w:r>
      <w:proofErr w:type="spellStart"/>
      <w:r w:rsidR="000445C6" w:rsidRPr="000445C6">
        <w:rPr>
          <w:i/>
          <w:sz w:val="16"/>
          <w:szCs w:val="16"/>
        </w:rPr>
        <w:t>priority</w:t>
      </w:r>
      <w:proofErr w:type="spellEnd"/>
      <w:r w:rsidR="000445C6" w:rsidRPr="000445C6">
        <w:rPr>
          <w:i/>
          <w:sz w:val="16"/>
          <w:szCs w:val="16"/>
        </w:rPr>
        <w:t xml:space="preserve"> and for </w:t>
      </w:r>
      <w:proofErr w:type="spellStart"/>
      <w:r w:rsidR="000445C6" w:rsidRPr="000445C6">
        <w:rPr>
          <w:i/>
          <w:sz w:val="16"/>
          <w:szCs w:val="16"/>
        </w:rPr>
        <w:t>assessing</w:t>
      </w:r>
      <w:proofErr w:type="spellEnd"/>
      <w:r w:rsidR="000445C6" w:rsidRPr="000445C6">
        <w:rPr>
          <w:i/>
          <w:sz w:val="16"/>
          <w:szCs w:val="16"/>
        </w:rPr>
        <w:t xml:space="preserve"> the </w:t>
      </w:r>
      <w:proofErr w:type="spellStart"/>
      <w:r w:rsidR="000445C6" w:rsidRPr="000445C6">
        <w:rPr>
          <w:i/>
          <w:sz w:val="16"/>
          <w:szCs w:val="16"/>
        </w:rPr>
        <w:t>attainment</w:t>
      </w:r>
      <w:proofErr w:type="spellEnd"/>
      <w:r w:rsidR="000445C6" w:rsidRPr="000445C6">
        <w:rPr>
          <w:i/>
          <w:sz w:val="16"/>
          <w:szCs w:val="16"/>
        </w:rPr>
        <w:t xml:space="preserve"> of the </w:t>
      </w:r>
      <w:proofErr w:type="spellStart"/>
      <w:r w:rsidR="000445C6" w:rsidRPr="000445C6">
        <w:rPr>
          <w:i/>
          <w:sz w:val="16"/>
          <w:szCs w:val="16"/>
        </w:rPr>
        <w:t>milestones</w:t>
      </w:r>
      <w:proofErr w:type="spellEnd"/>
      <w:r w:rsidR="000445C6" w:rsidRPr="000445C6">
        <w:rPr>
          <w:i/>
          <w:sz w:val="16"/>
          <w:szCs w:val="16"/>
        </w:rPr>
        <w:t xml:space="preserve"> and targets (</w:t>
      </w:r>
      <w:proofErr w:type="spellStart"/>
      <w:r w:rsidR="000445C6" w:rsidRPr="000445C6">
        <w:rPr>
          <w:i/>
          <w:sz w:val="16"/>
          <w:szCs w:val="16"/>
        </w:rPr>
        <w:t>version</w:t>
      </w:r>
      <w:proofErr w:type="spellEnd"/>
      <w:r w:rsidR="000445C6" w:rsidRPr="000445C6">
        <w:rPr>
          <w:i/>
          <w:sz w:val="16"/>
          <w:szCs w:val="16"/>
        </w:rPr>
        <w:t xml:space="preserve"> 2 05.11.2013</w:t>
      </w:r>
      <w:r w:rsidR="000445C6" w:rsidRPr="000445C6">
        <w:rPr>
          <w:sz w:val="16"/>
          <w:szCs w:val="16"/>
        </w:rPr>
        <w:t>)</w:t>
      </w:r>
      <w:r w:rsidRPr="000445C6">
        <w:rPr>
          <w:sz w:val="16"/>
          <w:szCs w:val="16"/>
        </w:rPr>
        <w:t xml:space="preserve"> e </w:t>
      </w:r>
      <w:r w:rsidR="000445C6">
        <w:rPr>
          <w:sz w:val="16"/>
          <w:szCs w:val="16"/>
        </w:rPr>
        <w:t xml:space="preserve">che </w:t>
      </w:r>
      <w:r w:rsidRPr="000445C6">
        <w:rPr>
          <w:sz w:val="16"/>
          <w:szCs w:val="16"/>
        </w:rPr>
        <w:t xml:space="preserve">i target intermedi e target finali devono essere presentati secondo il formato standard per il quadro di riferimento dell’efficacia dell’attuazione di cui alla </w:t>
      </w:r>
      <w:r w:rsidRPr="000445C6">
        <w:rPr>
          <w:i/>
          <w:sz w:val="16"/>
          <w:szCs w:val="16"/>
        </w:rPr>
        <w:t>Tabella 1 dell’Allegato II</w:t>
      </w:r>
      <w:r w:rsidR="000445C6">
        <w:rPr>
          <w:i/>
          <w:sz w:val="16"/>
          <w:szCs w:val="16"/>
        </w:rPr>
        <w:t xml:space="preserve"> del RDC.</w:t>
      </w:r>
      <w:r w:rsidR="009E44A4">
        <w:rPr>
          <w:i/>
          <w:sz w:val="16"/>
          <w:szCs w:val="16"/>
        </w:rPr>
        <w:t xml:space="preserve"> </w:t>
      </w:r>
      <w:r w:rsidR="009E44A4" w:rsidRPr="009E44A4">
        <w:rPr>
          <w:sz w:val="16"/>
          <w:szCs w:val="16"/>
        </w:rPr>
        <w:t>Inoltre si ricorda che la Commissione ha in preparazione uno specifico atto di esecuzione e guida per la predisposizione del quadro di riferimento dell’efficacia dell’attuazione e sull’uso dei diversi tipi di indicatori, volto ad assicurare un approccio coerente per la definizione delle tappe e degli obiettivi del quadro e p</w:t>
      </w:r>
      <w:r w:rsidR="009E44A4">
        <w:rPr>
          <w:sz w:val="16"/>
          <w:szCs w:val="16"/>
        </w:rPr>
        <w:t>er valutarne il raggiungimento. Pertanto s</w:t>
      </w:r>
      <w:r w:rsidR="009E44A4" w:rsidRPr="000445C6">
        <w:rPr>
          <w:sz w:val="16"/>
          <w:szCs w:val="16"/>
        </w:rPr>
        <w:t>ugli elementi di analisi per la costruzione del quadro dei risultati per la identificazione dei target intermedi e target finali e per la verifica di efficacia dell’attuazione si rinvia ad un lavoro di aggiornamento specifico.</w:t>
      </w:r>
    </w:p>
  </w:footnote>
  <w:footnote w:id="3">
    <w:p w:rsidR="00C557C4" w:rsidRDefault="00C557C4" w:rsidP="002D3000">
      <w:pPr>
        <w:autoSpaceDE w:val="0"/>
        <w:autoSpaceDN w:val="0"/>
        <w:adjustRightInd w:val="0"/>
        <w:spacing w:before="60" w:after="60" w:line="240" w:lineRule="auto"/>
        <w:ind w:left="142" w:hanging="142"/>
        <w:jc w:val="both"/>
      </w:pPr>
      <w:r w:rsidRPr="006B36C1">
        <w:rPr>
          <w:rStyle w:val="Rimandonotaapidipagina"/>
          <w:sz w:val="16"/>
          <w:szCs w:val="16"/>
        </w:rPr>
        <w:footnoteRef/>
      </w:r>
      <w:r w:rsidRPr="006B36C1">
        <w:rPr>
          <w:sz w:val="16"/>
          <w:szCs w:val="16"/>
        </w:rPr>
        <w:t xml:space="preserve"> </w:t>
      </w:r>
      <w:r w:rsidR="006B36C1" w:rsidRPr="006B36C1">
        <w:rPr>
          <w:rFonts w:cs="Times New Roman"/>
          <w:sz w:val="16"/>
          <w:szCs w:val="16"/>
        </w:rPr>
        <w:t>Si ricorda che uno Stato membro qualora non dovesse fornire le informazioni previste relative allo stato di attuazione (art.50) la riserva di efficacia dell'attuazione per i programmi o le priorità interessati non viene assegnata.</w:t>
      </w:r>
    </w:p>
  </w:footnote>
  <w:footnote w:id="4">
    <w:p w:rsidR="008B4869" w:rsidRDefault="008B4869" w:rsidP="002D3000">
      <w:pPr>
        <w:pStyle w:val="Default"/>
        <w:ind w:left="142" w:hanging="142"/>
        <w:jc w:val="both"/>
      </w:pPr>
      <w:r w:rsidRPr="008B4869">
        <w:rPr>
          <w:rStyle w:val="Rimandonotaapidipagina"/>
          <w:rFonts w:asciiTheme="minorHAnsi" w:hAnsiTheme="minorHAnsi"/>
          <w:sz w:val="16"/>
          <w:szCs w:val="16"/>
        </w:rPr>
        <w:footnoteRef/>
      </w:r>
      <w:r>
        <w:rPr>
          <w:rFonts w:asciiTheme="minorHAnsi" w:hAnsiTheme="minorHAnsi" w:cs="Times New Roman"/>
          <w:sz w:val="16"/>
          <w:szCs w:val="16"/>
        </w:rPr>
        <w:t>Si ricorda che</w:t>
      </w:r>
      <w:r w:rsidRPr="008B4869">
        <w:rPr>
          <w:rFonts w:asciiTheme="minorHAnsi" w:hAnsiTheme="minorHAnsi" w:cs="Times New Roman"/>
          <w:sz w:val="16"/>
          <w:szCs w:val="16"/>
        </w:rPr>
        <w:t xml:space="preserve"> lo Stato membro può proporre una riassegnazione della riserva, che non deve attenersi ai requisiti di cui sopra e alle assegnazioni minime</w:t>
      </w:r>
      <w:r>
        <w:rPr>
          <w:rFonts w:asciiTheme="minorHAnsi" w:hAnsiTheme="minorHAnsi" w:cs="Times New Roman"/>
          <w:sz w:val="16"/>
          <w:szCs w:val="16"/>
        </w:rPr>
        <w:t xml:space="preserve"> </w:t>
      </w:r>
      <w:r w:rsidRPr="008B4869">
        <w:rPr>
          <w:rFonts w:asciiTheme="minorHAnsi" w:hAnsiTheme="minorHAnsi" w:cs="Times New Roman"/>
          <w:sz w:val="16"/>
          <w:szCs w:val="16"/>
        </w:rPr>
        <w:t>se una o più delle priorità vincolate a requisiti di concentrazione tematica o assegnazioni minime non abbiano ragg</w:t>
      </w:r>
      <w:r>
        <w:rPr>
          <w:rFonts w:asciiTheme="minorHAnsi" w:hAnsiTheme="minorHAnsi" w:cs="Times New Roman"/>
          <w:sz w:val="16"/>
          <w:szCs w:val="16"/>
        </w:rPr>
        <w:t xml:space="preserve">iunto i propri target intermedi. </w:t>
      </w:r>
    </w:p>
  </w:footnote>
  <w:footnote w:id="5">
    <w:p w:rsidR="00EF4FDD" w:rsidRPr="00C557C4" w:rsidRDefault="00EF4FDD" w:rsidP="002D3000">
      <w:pPr>
        <w:autoSpaceDE w:val="0"/>
        <w:autoSpaceDN w:val="0"/>
        <w:adjustRightInd w:val="0"/>
        <w:spacing w:before="60" w:after="60" w:line="240" w:lineRule="auto"/>
        <w:ind w:left="142" w:hanging="142"/>
        <w:jc w:val="both"/>
        <w:rPr>
          <w:rFonts w:ascii="Times New Roman" w:hAnsi="Times New Roman" w:cs="Times New Roman"/>
          <w:sz w:val="16"/>
          <w:szCs w:val="16"/>
        </w:rPr>
      </w:pPr>
      <w:r w:rsidRPr="000445C6">
        <w:rPr>
          <w:rStyle w:val="Rimandonotaapidipagina"/>
          <w:sz w:val="16"/>
          <w:szCs w:val="16"/>
        </w:rPr>
        <w:footnoteRef/>
      </w:r>
      <w:r w:rsidRPr="000445C6">
        <w:rPr>
          <w:rFonts w:cs="Times New Roman"/>
          <w:sz w:val="16"/>
          <w:szCs w:val="16"/>
        </w:rPr>
        <w:t>La carenza deve essere imputabile a debolezze nell'attuazione chiaramente identificabili. Il riferimento è a quei casi in cui la Commissione ha precedentemente comunicato le carenze e rispetto alle quali lo Stato membro non ha adottato alcuna azione correttiva necessaria alla risoluzione della carenza individuata.</w:t>
      </w:r>
      <w:r>
        <w:rPr>
          <w:rFonts w:cs="Times New Roman"/>
          <w:sz w:val="16"/>
          <w:szCs w:val="16"/>
        </w:rPr>
        <w:t xml:space="preserve"> Nel caso del non raggiungimento dei target intermedi la Commissione può provvedere alla sospensione dei pagamenti non prima dei cinque mesi dalla sua comunicazione dell’esito delle verifiche non recepito dallo Stato Membro; qualora lo Stato m</w:t>
      </w:r>
      <w:r w:rsidRPr="000D39B9">
        <w:rPr>
          <w:rFonts w:cs="Times New Roman"/>
          <w:sz w:val="16"/>
          <w:szCs w:val="16"/>
        </w:rPr>
        <w:t xml:space="preserve">embro dovesse, invece, </w:t>
      </w:r>
      <w:r>
        <w:rPr>
          <w:rFonts w:cs="Times New Roman"/>
          <w:sz w:val="16"/>
          <w:szCs w:val="16"/>
        </w:rPr>
        <w:t xml:space="preserve">apportare </w:t>
      </w:r>
      <w:r w:rsidRPr="000D39B9">
        <w:rPr>
          <w:rFonts w:cs="Times New Roman"/>
          <w:sz w:val="16"/>
          <w:szCs w:val="16"/>
        </w:rPr>
        <w:t xml:space="preserve">le necessarie misure correttive, la Commissione pone fine alla sospensione dei pagamenti. </w:t>
      </w:r>
    </w:p>
    <w:p w:rsidR="00EF4FDD" w:rsidRPr="000445C6" w:rsidRDefault="00EF4FDD" w:rsidP="00EF4FDD">
      <w:pPr>
        <w:pStyle w:val="Testonotaapidipagina"/>
        <w:jc w:val="both"/>
        <w:rPr>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E13B2"/>
    <w:multiLevelType w:val="hybridMultilevel"/>
    <w:tmpl w:val="AA50317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37FA3F7C"/>
    <w:multiLevelType w:val="hybridMultilevel"/>
    <w:tmpl w:val="07583578"/>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nsid w:val="3864097D"/>
    <w:multiLevelType w:val="hybridMultilevel"/>
    <w:tmpl w:val="4680090C"/>
    <w:lvl w:ilvl="0" w:tplc="647C7EEE">
      <w:start w:val="1"/>
      <w:numFmt w:val="bullet"/>
      <w:lvlText w:val="•"/>
      <w:lvlJc w:val="left"/>
      <w:pPr>
        <w:tabs>
          <w:tab w:val="num" w:pos="720"/>
        </w:tabs>
        <w:ind w:left="720" w:hanging="360"/>
      </w:pPr>
      <w:rPr>
        <w:rFonts w:ascii="Times New Roman" w:hAnsi="Times New Roman" w:hint="default"/>
      </w:rPr>
    </w:lvl>
    <w:lvl w:ilvl="1" w:tplc="E0E8AE98" w:tentative="1">
      <w:start w:val="1"/>
      <w:numFmt w:val="bullet"/>
      <w:lvlText w:val="•"/>
      <w:lvlJc w:val="left"/>
      <w:pPr>
        <w:tabs>
          <w:tab w:val="num" w:pos="1440"/>
        </w:tabs>
        <w:ind w:left="1440" w:hanging="360"/>
      </w:pPr>
      <w:rPr>
        <w:rFonts w:ascii="Times New Roman" w:hAnsi="Times New Roman" w:hint="default"/>
      </w:rPr>
    </w:lvl>
    <w:lvl w:ilvl="2" w:tplc="88803B56" w:tentative="1">
      <w:start w:val="1"/>
      <w:numFmt w:val="bullet"/>
      <w:lvlText w:val="•"/>
      <w:lvlJc w:val="left"/>
      <w:pPr>
        <w:tabs>
          <w:tab w:val="num" w:pos="2160"/>
        </w:tabs>
        <w:ind w:left="2160" w:hanging="360"/>
      </w:pPr>
      <w:rPr>
        <w:rFonts w:ascii="Times New Roman" w:hAnsi="Times New Roman" w:hint="default"/>
      </w:rPr>
    </w:lvl>
    <w:lvl w:ilvl="3" w:tplc="A2CCF948" w:tentative="1">
      <w:start w:val="1"/>
      <w:numFmt w:val="bullet"/>
      <w:lvlText w:val="•"/>
      <w:lvlJc w:val="left"/>
      <w:pPr>
        <w:tabs>
          <w:tab w:val="num" w:pos="2880"/>
        </w:tabs>
        <w:ind w:left="2880" w:hanging="360"/>
      </w:pPr>
      <w:rPr>
        <w:rFonts w:ascii="Times New Roman" w:hAnsi="Times New Roman" w:hint="default"/>
      </w:rPr>
    </w:lvl>
    <w:lvl w:ilvl="4" w:tplc="09A08338" w:tentative="1">
      <w:start w:val="1"/>
      <w:numFmt w:val="bullet"/>
      <w:lvlText w:val="•"/>
      <w:lvlJc w:val="left"/>
      <w:pPr>
        <w:tabs>
          <w:tab w:val="num" w:pos="3600"/>
        </w:tabs>
        <w:ind w:left="3600" w:hanging="360"/>
      </w:pPr>
      <w:rPr>
        <w:rFonts w:ascii="Times New Roman" w:hAnsi="Times New Roman" w:hint="default"/>
      </w:rPr>
    </w:lvl>
    <w:lvl w:ilvl="5" w:tplc="8B4C6BDE" w:tentative="1">
      <w:start w:val="1"/>
      <w:numFmt w:val="bullet"/>
      <w:lvlText w:val="•"/>
      <w:lvlJc w:val="left"/>
      <w:pPr>
        <w:tabs>
          <w:tab w:val="num" w:pos="4320"/>
        </w:tabs>
        <w:ind w:left="4320" w:hanging="360"/>
      </w:pPr>
      <w:rPr>
        <w:rFonts w:ascii="Times New Roman" w:hAnsi="Times New Roman" w:hint="default"/>
      </w:rPr>
    </w:lvl>
    <w:lvl w:ilvl="6" w:tplc="7BE45130" w:tentative="1">
      <w:start w:val="1"/>
      <w:numFmt w:val="bullet"/>
      <w:lvlText w:val="•"/>
      <w:lvlJc w:val="left"/>
      <w:pPr>
        <w:tabs>
          <w:tab w:val="num" w:pos="5040"/>
        </w:tabs>
        <w:ind w:left="5040" w:hanging="360"/>
      </w:pPr>
      <w:rPr>
        <w:rFonts w:ascii="Times New Roman" w:hAnsi="Times New Roman" w:hint="default"/>
      </w:rPr>
    </w:lvl>
    <w:lvl w:ilvl="7" w:tplc="07F6C24E" w:tentative="1">
      <w:start w:val="1"/>
      <w:numFmt w:val="bullet"/>
      <w:lvlText w:val="•"/>
      <w:lvlJc w:val="left"/>
      <w:pPr>
        <w:tabs>
          <w:tab w:val="num" w:pos="5760"/>
        </w:tabs>
        <w:ind w:left="5760" w:hanging="360"/>
      </w:pPr>
      <w:rPr>
        <w:rFonts w:ascii="Times New Roman" w:hAnsi="Times New Roman" w:hint="default"/>
      </w:rPr>
    </w:lvl>
    <w:lvl w:ilvl="8" w:tplc="BAFE467A" w:tentative="1">
      <w:start w:val="1"/>
      <w:numFmt w:val="bullet"/>
      <w:lvlText w:val="•"/>
      <w:lvlJc w:val="left"/>
      <w:pPr>
        <w:tabs>
          <w:tab w:val="num" w:pos="6480"/>
        </w:tabs>
        <w:ind w:left="6480" w:hanging="360"/>
      </w:pPr>
      <w:rPr>
        <w:rFonts w:ascii="Times New Roman" w:hAnsi="Times New Roman" w:hint="default"/>
      </w:rPr>
    </w:lvl>
  </w:abstractNum>
  <w:abstractNum w:abstractNumId="3">
    <w:nsid w:val="3A575226"/>
    <w:multiLevelType w:val="hybridMultilevel"/>
    <w:tmpl w:val="815E7B52"/>
    <w:lvl w:ilvl="0" w:tplc="9594D90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870"/>
    <w:rsid w:val="0001229E"/>
    <w:rsid w:val="000445C6"/>
    <w:rsid w:val="0006135A"/>
    <w:rsid w:val="00093E83"/>
    <w:rsid w:val="00094B7E"/>
    <w:rsid w:val="000B3947"/>
    <w:rsid w:val="000D39B9"/>
    <w:rsid w:val="000E17AA"/>
    <w:rsid w:val="000E7AEC"/>
    <w:rsid w:val="001067BE"/>
    <w:rsid w:val="001118C2"/>
    <w:rsid w:val="00157F2C"/>
    <w:rsid w:val="00166C92"/>
    <w:rsid w:val="001915AA"/>
    <w:rsid w:val="001B3A1C"/>
    <w:rsid w:val="001C0288"/>
    <w:rsid w:val="00212951"/>
    <w:rsid w:val="00214962"/>
    <w:rsid w:val="00257C5C"/>
    <w:rsid w:val="002816DB"/>
    <w:rsid w:val="00296E9B"/>
    <w:rsid w:val="002C1A72"/>
    <w:rsid w:val="002C77F6"/>
    <w:rsid w:val="002D3000"/>
    <w:rsid w:val="002F24B9"/>
    <w:rsid w:val="00367BF7"/>
    <w:rsid w:val="00382046"/>
    <w:rsid w:val="003B58C7"/>
    <w:rsid w:val="003D0485"/>
    <w:rsid w:val="003E456D"/>
    <w:rsid w:val="00411F52"/>
    <w:rsid w:val="00414EB3"/>
    <w:rsid w:val="0043584E"/>
    <w:rsid w:val="00443B33"/>
    <w:rsid w:val="00455288"/>
    <w:rsid w:val="00483874"/>
    <w:rsid w:val="0049795A"/>
    <w:rsid w:val="004A3BD4"/>
    <w:rsid w:val="004C5AFC"/>
    <w:rsid w:val="0050417E"/>
    <w:rsid w:val="00515510"/>
    <w:rsid w:val="005379BF"/>
    <w:rsid w:val="00556271"/>
    <w:rsid w:val="00590BFE"/>
    <w:rsid w:val="0059452C"/>
    <w:rsid w:val="005F1CCF"/>
    <w:rsid w:val="00616FDC"/>
    <w:rsid w:val="006309C1"/>
    <w:rsid w:val="00640267"/>
    <w:rsid w:val="00642E8F"/>
    <w:rsid w:val="00673E36"/>
    <w:rsid w:val="006766F4"/>
    <w:rsid w:val="0069296E"/>
    <w:rsid w:val="006B36C1"/>
    <w:rsid w:val="006B6D9F"/>
    <w:rsid w:val="006C3A98"/>
    <w:rsid w:val="006D51FA"/>
    <w:rsid w:val="006E6760"/>
    <w:rsid w:val="006F07B5"/>
    <w:rsid w:val="00715900"/>
    <w:rsid w:val="00737C88"/>
    <w:rsid w:val="00741EF9"/>
    <w:rsid w:val="00743299"/>
    <w:rsid w:val="007576AF"/>
    <w:rsid w:val="00760A33"/>
    <w:rsid w:val="00796EC0"/>
    <w:rsid w:val="007A326B"/>
    <w:rsid w:val="007C0A89"/>
    <w:rsid w:val="007D4096"/>
    <w:rsid w:val="008368FF"/>
    <w:rsid w:val="00844F0B"/>
    <w:rsid w:val="0087614E"/>
    <w:rsid w:val="008800BF"/>
    <w:rsid w:val="00892E36"/>
    <w:rsid w:val="00897021"/>
    <w:rsid w:val="008A4DFC"/>
    <w:rsid w:val="008B4869"/>
    <w:rsid w:val="008E6211"/>
    <w:rsid w:val="008E732D"/>
    <w:rsid w:val="00931B36"/>
    <w:rsid w:val="009467A1"/>
    <w:rsid w:val="0095786A"/>
    <w:rsid w:val="0096320C"/>
    <w:rsid w:val="009701AB"/>
    <w:rsid w:val="009A40E0"/>
    <w:rsid w:val="009B2D2C"/>
    <w:rsid w:val="009E44A4"/>
    <w:rsid w:val="009E5ED9"/>
    <w:rsid w:val="00A200A6"/>
    <w:rsid w:val="00A21814"/>
    <w:rsid w:val="00A246CD"/>
    <w:rsid w:val="00A442DA"/>
    <w:rsid w:val="00A461F8"/>
    <w:rsid w:val="00A53486"/>
    <w:rsid w:val="00A85853"/>
    <w:rsid w:val="00A870C2"/>
    <w:rsid w:val="00A9094B"/>
    <w:rsid w:val="00AC1076"/>
    <w:rsid w:val="00AD0D09"/>
    <w:rsid w:val="00AD2BD7"/>
    <w:rsid w:val="00AF03B3"/>
    <w:rsid w:val="00AF098B"/>
    <w:rsid w:val="00B770A9"/>
    <w:rsid w:val="00B8572E"/>
    <w:rsid w:val="00B9213B"/>
    <w:rsid w:val="00B95F1E"/>
    <w:rsid w:val="00BA4362"/>
    <w:rsid w:val="00BF7DBD"/>
    <w:rsid w:val="00C1059A"/>
    <w:rsid w:val="00C35A83"/>
    <w:rsid w:val="00C363CF"/>
    <w:rsid w:val="00C42222"/>
    <w:rsid w:val="00C5011B"/>
    <w:rsid w:val="00C50DF4"/>
    <w:rsid w:val="00C54870"/>
    <w:rsid w:val="00C557C4"/>
    <w:rsid w:val="00C673CD"/>
    <w:rsid w:val="00C72B00"/>
    <w:rsid w:val="00C736E0"/>
    <w:rsid w:val="00C86A2D"/>
    <w:rsid w:val="00C90D6C"/>
    <w:rsid w:val="00C95E1C"/>
    <w:rsid w:val="00CA02FB"/>
    <w:rsid w:val="00CC2256"/>
    <w:rsid w:val="00CE3050"/>
    <w:rsid w:val="00CF4F8F"/>
    <w:rsid w:val="00D00114"/>
    <w:rsid w:val="00D040E8"/>
    <w:rsid w:val="00D3637A"/>
    <w:rsid w:val="00D71073"/>
    <w:rsid w:val="00DA7A0A"/>
    <w:rsid w:val="00DB337A"/>
    <w:rsid w:val="00DD29D5"/>
    <w:rsid w:val="00DD728B"/>
    <w:rsid w:val="00DE2F8C"/>
    <w:rsid w:val="00DE49EA"/>
    <w:rsid w:val="00DE73AB"/>
    <w:rsid w:val="00E13395"/>
    <w:rsid w:val="00E25CBA"/>
    <w:rsid w:val="00E40EE1"/>
    <w:rsid w:val="00E502AE"/>
    <w:rsid w:val="00E527A2"/>
    <w:rsid w:val="00E70DDA"/>
    <w:rsid w:val="00E73622"/>
    <w:rsid w:val="00E7423D"/>
    <w:rsid w:val="00E77A46"/>
    <w:rsid w:val="00E809E7"/>
    <w:rsid w:val="00E845C7"/>
    <w:rsid w:val="00EC6F44"/>
    <w:rsid w:val="00EF0B24"/>
    <w:rsid w:val="00EF4FDD"/>
    <w:rsid w:val="00F21621"/>
    <w:rsid w:val="00F32D8E"/>
    <w:rsid w:val="00F4784F"/>
    <w:rsid w:val="00F9691E"/>
    <w:rsid w:val="00FB3431"/>
    <w:rsid w:val="00FC2AB7"/>
    <w:rsid w:val="00FC6235"/>
    <w:rsid w:val="00FE268E"/>
    <w:rsid w:val="00FF7E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B8FA230-C8CC-48E9-A42B-BC3B9D1E7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next w:val="Normale"/>
    <w:link w:val="Titolo2Carattere"/>
    <w:uiPriority w:val="9"/>
    <w:semiHidden/>
    <w:unhideWhenUsed/>
    <w:qFormat/>
    <w:rsid w:val="0050417E"/>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B394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B3947"/>
  </w:style>
  <w:style w:type="paragraph" w:styleId="Pidipagina">
    <w:name w:val="footer"/>
    <w:basedOn w:val="Normale"/>
    <w:link w:val="PidipaginaCarattere"/>
    <w:uiPriority w:val="99"/>
    <w:unhideWhenUsed/>
    <w:rsid w:val="000B394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B3947"/>
  </w:style>
  <w:style w:type="paragraph" w:customStyle="1" w:styleId="Default">
    <w:name w:val="Default"/>
    <w:rsid w:val="00515510"/>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515510"/>
    <w:rPr>
      <w:rFonts w:cstheme="minorBidi"/>
      <w:color w:val="auto"/>
    </w:rPr>
  </w:style>
  <w:style w:type="paragraph" w:customStyle="1" w:styleId="CM3">
    <w:name w:val="CM3"/>
    <w:basedOn w:val="Default"/>
    <w:next w:val="Default"/>
    <w:uiPriority w:val="99"/>
    <w:rsid w:val="00515510"/>
    <w:rPr>
      <w:rFonts w:cstheme="minorBidi"/>
      <w:color w:val="auto"/>
    </w:rPr>
  </w:style>
  <w:style w:type="paragraph" w:customStyle="1" w:styleId="CM4">
    <w:name w:val="CM4"/>
    <w:basedOn w:val="Default"/>
    <w:next w:val="Default"/>
    <w:uiPriority w:val="99"/>
    <w:rsid w:val="00515510"/>
    <w:rPr>
      <w:rFonts w:cstheme="minorBidi"/>
      <w:color w:val="auto"/>
    </w:rPr>
  </w:style>
  <w:style w:type="paragraph" w:styleId="Paragrafoelenco">
    <w:name w:val="List Paragraph"/>
    <w:basedOn w:val="Normale"/>
    <w:uiPriority w:val="34"/>
    <w:qFormat/>
    <w:rsid w:val="00AF03B3"/>
    <w:pPr>
      <w:ind w:left="720"/>
      <w:contextualSpacing/>
    </w:pPr>
  </w:style>
  <w:style w:type="character" w:customStyle="1" w:styleId="longtext">
    <w:name w:val="long_text"/>
    <w:basedOn w:val="Carpredefinitoparagrafo"/>
    <w:rsid w:val="00590BFE"/>
  </w:style>
  <w:style w:type="character" w:customStyle="1" w:styleId="hps">
    <w:name w:val="hps"/>
    <w:basedOn w:val="Carpredefinitoparagrafo"/>
    <w:rsid w:val="00590BFE"/>
  </w:style>
  <w:style w:type="paragraph" w:styleId="Testofumetto">
    <w:name w:val="Balloon Text"/>
    <w:basedOn w:val="Normale"/>
    <w:link w:val="TestofumettoCarattere"/>
    <w:uiPriority w:val="99"/>
    <w:semiHidden/>
    <w:unhideWhenUsed/>
    <w:rsid w:val="00367BF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67BF7"/>
    <w:rPr>
      <w:rFonts w:ascii="Segoe UI" w:hAnsi="Segoe UI" w:cs="Segoe UI"/>
      <w:sz w:val="18"/>
      <w:szCs w:val="18"/>
    </w:rPr>
  </w:style>
  <w:style w:type="character" w:customStyle="1" w:styleId="Titolo2Carattere">
    <w:name w:val="Titolo 2 Carattere"/>
    <w:basedOn w:val="Carpredefinitoparagrafo"/>
    <w:link w:val="Titolo2"/>
    <w:uiPriority w:val="9"/>
    <w:semiHidden/>
    <w:rsid w:val="0050417E"/>
    <w:rPr>
      <w:rFonts w:asciiTheme="majorHAnsi" w:eastAsiaTheme="majorEastAsia" w:hAnsiTheme="majorHAnsi" w:cstheme="majorBidi"/>
      <w:color w:val="2E74B5" w:themeColor="accent1" w:themeShade="BF"/>
      <w:sz w:val="26"/>
      <w:szCs w:val="26"/>
      <w:lang w:eastAsia="it-IT"/>
    </w:rPr>
  </w:style>
  <w:style w:type="paragraph" w:customStyle="1" w:styleId="ManualNumPar1">
    <w:name w:val="Manual NumPar 1"/>
    <w:basedOn w:val="Normale"/>
    <w:next w:val="Normale"/>
    <w:rsid w:val="0050417E"/>
    <w:pPr>
      <w:spacing w:before="120" w:after="120" w:line="240" w:lineRule="auto"/>
      <w:ind w:left="850" w:hanging="850"/>
      <w:jc w:val="both"/>
    </w:pPr>
    <w:rPr>
      <w:rFonts w:ascii="Times New Roman" w:eastAsia="Times New Roman" w:hAnsi="Times New Roman" w:cs="Times New Roman"/>
      <w:sz w:val="24"/>
      <w:szCs w:val="24"/>
      <w:lang w:val="en-GB" w:eastAsia="en-GB"/>
    </w:rPr>
  </w:style>
  <w:style w:type="paragraph" w:styleId="Testonotaapidipagina">
    <w:name w:val="footnote text"/>
    <w:basedOn w:val="Normale"/>
    <w:link w:val="TestonotaapidipaginaCarattere"/>
    <w:uiPriority w:val="99"/>
    <w:semiHidden/>
    <w:unhideWhenUsed/>
    <w:rsid w:val="00E845C7"/>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E845C7"/>
    <w:rPr>
      <w:sz w:val="20"/>
      <w:szCs w:val="20"/>
    </w:rPr>
  </w:style>
  <w:style w:type="character" w:styleId="Rimandonotaapidipagina">
    <w:name w:val="footnote reference"/>
    <w:basedOn w:val="Carpredefinitoparagrafo"/>
    <w:uiPriority w:val="99"/>
    <w:semiHidden/>
    <w:unhideWhenUsed/>
    <w:rsid w:val="00E845C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11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6798A-A4B2-48D5-BB11-46CCFE58D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2305</Words>
  <Characters>13145</Characters>
  <Application>Microsoft Office Word</Application>
  <DocSecurity>0</DocSecurity>
  <Lines>109</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Casillo</dc:creator>
  <cp:keywords/>
  <dc:description/>
  <cp:lastModifiedBy>Rosita Tombesi</cp:lastModifiedBy>
  <cp:revision>4</cp:revision>
  <cp:lastPrinted>2014-01-28T12:41:00Z</cp:lastPrinted>
  <dcterms:created xsi:type="dcterms:W3CDTF">2014-02-03T15:32:00Z</dcterms:created>
  <dcterms:modified xsi:type="dcterms:W3CDTF">2014-02-03T16:44:00Z</dcterms:modified>
</cp:coreProperties>
</file>